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tabulas nosaukumu, jo noteikumu 4.punkts tiek precizēts vai iespējams vērtēt, apvienot tabulas vienā pielikumā - viena tabula noteiktu definētās jomas specifisko darbību cenas (kas ir bez PVN), bet otra - jomas vispārīgo darbību cenas ar PVN. ja 2.pielikums tomēr attiecas uz visām valsts uzraudzības un kontroles darbībām, tad iespējams jāmaina nosaukums uz "Maksas apmērs  par dienesta vispārīgām valsts uzraudzības un kontroles darbībām"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precīzus un korektus ar projektu saistīto Eiropas Savienības tiesību normu un to ieviešanas skaidrojumus. Piemēram, </w:t>
            </w:r>
            <w:r w:rsidR="00000000" w:rsidRPr="00000000" w:rsidDel="00000000">
              <w:rPr>
                <w:i w:val="1"/>
                <w:rtl w:val="0"/>
              </w:rPr>
              <w:t xml:space="preserve">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w:t>
            </w:r>
            <w:r w:rsidR="00000000" w:rsidRPr="00000000" w:rsidDel="00000000">
              <w:rPr>
                <w:rtl w:val="0"/>
              </w:rPr>
              <w:t xml:space="preserve"> (turpmāk - Regula 2017/625) 80. pantam nav apakšvienību un tas nenosaka obligāti iekasējamās maksas, bet paredz dalībvalsts rīcības brīvību "[..]</w:t>
            </w:r>
            <w:r w:rsidR="00000000" w:rsidRPr="00000000" w:rsidDel="00000000">
              <w:rPr>
                <w:i w:val="1"/>
                <w:rtl w:val="0"/>
              </w:rPr>
              <w:t xml:space="preserve"> dalībvalstis var iekasēt nodevas vai maksu, kas nav 79. pantā minētās nodevas vai maksa</w:t>
            </w:r>
            <w:r w:rsidR="00000000" w:rsidRPr="00000000" w:rsidDel="00000000">
              <w:rPr>
                <w:rtl w:val="0"/>
              </w:rPr>
              <w:t xml:space="preserve"> [..]"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anotācijas 5.4. apakšsadaļas 1. tabulu atbilstoši projekta 1. pielikumā veiktajām izmaiņām, kas maina pielikuma daļu numerāciju. Norādot uz regulas 2017/625 80. panta ieviešanu un tajā paredzētās dalībvalsts rīcības brīvības izmantošanu, lūdzam atspoguļot anotācijas 5.4. apakšsadaļas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sniegtais pakalpojums ietver kompensējoša rakstura maksu atbilstoši attaisnojuma dokumentiem un trešās personas noteiktiem tarifiem, dienests par minētajiem pakalpojumiem atjauno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visos noteikumos tiek pareizi izšķirti termini "darbības" un "pakalpojums", kur tas objektīvi ir nepieciešams (šajā gadījumā to nošķir arī likuma pilnvarojuma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normatīvajos aktos pārtikas un dzīvnieku barības aprites, dzīvnieku veselības un aizsardzības jomā noteiktajām Pārtikas un veterinārā dienesta valsts uzraudzības un kontroles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tabulas nosaukumu, jo noteikumu 4.punkts tiek precizēts. Vārdi "normatīvajos aktos"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veterinārā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tabulas nosaukumu, jo noteikumu 4.punkts tiek precizēts vai iespējams vērtēt, apvienot tabulas vienā pielikumā - viena tabula noteiktu definētās jomas specifisko darbību cenas (kas ir bez PVN), bet otra - jomas vispārīgo darbību cenas ar PVN. Ja 2.pielikums tomēr attiecas uz visām valsts uzraudzības un kontroles darbībām, tad iespējams jāmaina nosaukums uz "Maksas apmērs  par dienesta vispārīgām valsts uzraudzības un kontroles darbībām"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25-TA-2530</w:t>
    </w:r>
    <w:r>
      <w:br/>
    </w:r>
    <w:r w:rsidR="00000000" w:rsidRPr="00000000" w:rsidDel="00000000">
      <w:rPr>
        <w:rtl w:val="0"/>
      </w:rPr>
      <w:t xml:space="preserve">Izdrukāts 09.03.2026. 21.24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25-TA-2530</w:t>
    </w:r>
    <w:r>
      <w:br/>
    </w:r>
    <w:r w:rsidR="00000000" w:rsidRPr="00000000" w:rsidDel="00000000">
      <w:rPr>
        <w:rtl w:val="0"/>
      </w:rPr>
      <w:t xml:space="preserve">Izdrukāts 09.03.2026. 21.24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Atzinumi_25-TA-2530.docx</dc:title>
</cp:coreProperties>
</file>

<file path=docProps/custom.xml><?xml version="1.0" encoding="utf-8"?>
<Properties xmlns="http://schemas.openxmlformats.org/officeDocument/2006/custom-properties" xmlns:vt="http://schemas.openxmlformats.org/officeDocument/2006/docPropsVTypes"/>
</file>