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nodot privatizācijai valsts nekustamo īpašumu “Jaundubulti 1402”, Jūrmalā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10. punkta pirmā teikuma izriet, ka projekts tiks paziņots oficiālajā izdevumā "Latvijas Vēstnesis". Vēršam uzmanību uz to, ka Paziņošanas likuma 11. panta pirmā daļa noteic, ka 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 Ievērojot minēto, atkārtoti lūdzam papildināt anotāciju ar informāciju par to, kāpēc ir paredzēts, ka projekts tiks paziņots publiski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Meža likuma 44. panta trešajā daļā nav sadaļu, atkārtoti aicinām precizēt anotācijas 1.3. apakšsadaļā "Problēmas apraksts" ietverto atsauci uz Meža likuma 44. panta trešās daļas b) sadaļu. Vēršam uzmanību uz to, ka visticamāk ir domāta atsauce uz Meža likuma 44. panta ceturtās daļas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17.07.2024.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17.07.2024.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Atzinumi_22-TA-2937.docx</dc:title>
</cp:coreProperties>
</file>

<file path=docProps/custom.xml><?xml version="1.0" encoding="utf-8"?>
<Properties xmlns="http://schemas.openxmlformats.org/officeDocument/2006/custom-properties" xmlns:vt="http://schemas.openxmlformats.org/officeDocument/2006/docPropsVTypes"/>
</file>