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aicinām ņemt vērā, ka Ministru kabineta kārtības ruļļa  52.1.3.1 punkts nosaka, ka atbildīgajai ministrijai, kura sagatavo noteikumu, ir nepieciešams saņemt saskaņojumu no Labklājības ministrijas, ja noteikumu projekts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52.1.3.11. par Eiropas Savienības fondu plānošanas dokumentu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52.1.3.12. 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izvērtē iespēju īstenot sociāli atbildīgu un inovatīvu iepirkumu  un vides prasību integrāciju preču un pakalpojumu  iepirkumos (zaļais publiskais iepirkums);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apakšpunkta redakciju, ņemot vērā, ka normatīvajos aktos nav sniegts skaidrojums, kā var izvērtēt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r w:rsidR="00000000" w:rsidRPr="00000000" w:rsidDel="00000000">
              <w:rPr>
                <w:b w:val="1"/>
                <w:rtl w:val="0"/>
              </w:rPr>
              <w:t xml:space="preserve"> ir atbalstāms </w:t>
            </w:r>
            <w:r w:rsidR="00000000" w:rsidRPr="00000000" w:rsidDel="00000000">
              <w:rPr>
                <w:rtl w:val="0"/>
              </w:rPr>
              <w:t xml:space="preserve">sociāli atbildīgs un inovatīvs iepirkumu  un vides prasību integrācija preču un pakalpojumu  iepirkumos (zaļais publiskais iepirkums);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“vides pieejamība” aizstāt ar terminu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piekļūstamība” ietver sevī risinājumus cilvēkiem ar redzes, dzirdes un garīga rakstura traucējumiem, piemēram, taktilie un kontrasta risinājumi, indukcijas cilpas, virziena norādes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terminu “pieejamība” aizstāt ar terminu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“cilvēki ar īpašām vajadzībām” aizstāt ar “cilvēki ar funkcionāliem traucējumiem”. Vēršam uzmanību, ka šāds termins tiek lietots vairākos likumos, piemēram Sociālo pakalpojumu un sociālās palīdzības likumā un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(turpmāk - HP VINPI) Vadlīnijām [1] aicinām sadaļā sniegt informāciju par pasākuma ietekmi uz personu ar invaliditāti vienlīdzīgām iespējām un tiesībām un papildināt sadaļu ar vispārīgajām un specifiskajām HP VINPI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horizontālā principa “Vienlīdzība, iekļaušana, nediskriminācija un pamattiesību ievērošana” ievērošanu, kura ietvaros tiek vērtēts, vai projektaiesniegumā tiek paredzētas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projektos ir jāparedz horizontālā principa darbības, kas īpaši veicina vides un informācijas piekļūstamību personām ar kustību, redzes, dzirdes vai garīga rakstura traucējumiem, vecāka gadagājuma cilvēkiem un vecākiem ar maziem bērniem,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 piekļūstamību cilvēkiem ar funkcionāliem traucējumiem (LM vadlīnijas “Labās prakses ieteikumi vides piekļūstamības nodrošināšanai papildus LBN 200-21 noteiktajam”. Pieejams šeit: https://www.lm.gov.lv/lv/ieteikumi-ieklaujosas-vides-veidosanai;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 u.c.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(turpmāk - HP ) Vadlīnijām [1] aicinām sadaļā sniegt informāciju par pasākuma ietekmi uz dzimumu līdztiesību un papildināt sadaļu ar vispārīgajām un specifiskajām HP VINPI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horizontālā principa “Vienlīdzība, iekļaušana, nediskriminācija un pamattiesību ievērošana” ievērošanu, kura ietvaros tiek vērtēts, vai projekta iesniegumā tiek iekļautas vispārīgas un specifiskas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nobraukumu/uzbraukumu, izvairoties no kāpnēm. Svarīga ir arī soliņu izbūve pie ietvēm, kas ir būtiska visiem cilvēkiem, tai skaitā vecākai paaudzei un  vecākiem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ielu infrastruktūru ir būtisks apgaismojums - lai būtu droši pārvietoties gan no ērtības un drošības kopumā, gan specifiski sievietēm, jo mazina riskus vardarbībai pret sievietēm, aizskaršanai/apdraudējumam.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07.11.2024.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07.11.2024.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Atzinumi_24-TA-1502.docx</dc:title>
</cp:coreProperties>
</file>

<file path=docProps/custom.xml><?xml version="1.0" encoding="utf-8"?>
<Properties xmlns="http://schemas.openxmlformats.org/officeDocument/2006/custom-properties" xmlns:vt="http://schemas.openxmlformats.org/officeDocument/2006/docPropsVTypes"/>
</file>