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23-TA-3058: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ilgtermiņa aprūpes pakalpojumu pieejamības un attīstības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15. Veicināt sabiedrības informēšanu un ilgtermiņa aprūpes speciālistu profesijas prestiža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atbildīgos iesaistīt ne tikai NVO, bet arī Valsts izglītības iestādes, piemēram, RSU un Latvijas Universitātes P. Stradiņa medicīnas koledža u.c. autstskolas, kuras nodrošina 1. un 2. līmeņa augstāko profesionālo izglītību sociālajā jomā, jo sabiedrības informēšanas mērķa grupas ir potenciālie un esošie studenti.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20.03.2024.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20.03.2024.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Atzinumi_23-TA-3058.docx</dc:title>
</cp:coreProperties>
</file>

<file path=docProps/custom.xml><?xml version="1.0" encoding="utf-8"?>
<Properties xmlns="http://schemas.openxmlformats.org/officeDocument/2006/custom-properties" xmlns:vt="http://schemas.openxmlformats.org/officeDocument/2006/docPropsVTypes"/>
</file>