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ēkas energoefektivitātes uzlabošanai var būt nepieciešama atsevišķu ēkas daļu pilnīga atjaunošana vai pārbūve, kas būtiski pārsniedz minimālo apdares darbu apjomu un attiecīgi rada lielāku ēkas iekštelpu būvdarbu izmaksu īpatsvaru, nekā ir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Iekšlietu ministrijas sistēmas iestāžu un pašvaldību policijas institūciju darbiniekiem mūsdienu prasībām atbilstošu darba vidi, aicinām palielināt attiecināmo ēkas iekštelpu būvdarbu izmaksu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w:t>
            </w:r>
            <w:r w:rsidR="00000000" w:rsidRPr="00000000" w:rsidDel="00000000">
              <w:rPr>
                <w:b w:val="1"/>
                <w:u w:val="single"/>
                <w:rtl w:val="0"/>
              </w:rPr>
              <w:t xml:space="preserve"> 25 %</w:t>
            </w:r>
            <w:r w:rsidR="00000000" w:rsidRPr="00000000" w:rsidDel="00000000">
              <w:rPr>
                <w:rtl w:val="0"/>
              </w:rPr>
              <w:t xml:space="preserve"> no šo noteikumu 22.1., 22.2., 22.3., 22.4., 22.5., 22.5.</w:t>
            </w:r>
            <w:r w:rsidR="00000000" w:rsidRPr="00000000" w:rsidDel="00000000">
              <w:rPr>
                <w:vertAlign w:val="superscript"/>
                <w:rtl w:val="0"/>
              </w:rPr>
              <w:t xml:space="preserve">1</w:t>
            </w:r>
            <w:r w:rsidR="00000000" w:rsidRPr="00000000" w:rsidDel="00000000">
              <w:rPr>
                <w:rtl w:val="0"/>
              </w:rPr>
              <w:t xml:space="preserve">, 22.6. un 22.7. apakšpunktā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divi 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noteikumos Nr. 807 noteiktais minimālais divu mēnešu projekta iesnieguma termiņš var būt nepietiekams gadījumos, kad ēka ir sliktā tehniskā stāvoklī un nepieciešama papildu sagatavošanās. Šādos projektos būtisku laiku aizņem tehniskās dokumentācijas sagatavošana, izmaksu tāmju un attiecināmības aprēķinu izstrāde, kā arī saskaņojumi ar būvvaldi un citām institūcijām. Termiņa pagarināšana līdz četriem mēnešiem nodrošinātu kvalitatīvāku projektu sagatavošanu un mazinātu risku, ka projekti tiek iesniegti nepilnīgi vai tehniski nepamatoti.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četri mēneši pēc konkursa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06.11.2025.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06.11.2025.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