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niršanai aizliegtās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un kārtību niršanai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pilnvarojuma saturu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(Gröning L. Nulla Poena Sine Lege Parlamentaria? Democratic Legitimacy and European Penal Law. In: Legislation in Context: Essays in Legisprudence. Edited by Luc J. Wintgens. Hampshire: Ashgate, 2007, p.185</w:t>
            </w:r>
            <w:r w:rsidR="00000000" w:rsidRPr="00000000" w:rsidDel="00000000">
              <w:rPr>
                <w:rtl w:val="0"/>
              </w:rPr>
              <w:t xml:space="preserve">). Līdz ar to īpaša uzmanība pievēršama arī pilnvarojuma Ministru kabinetam kvalitātei, tā saturam, apjomam un citām pilnvarojumu raksturojošām pazīmēm. Sodošās normas precizitātei nav pietiekami, ja pārkāpuma pazīmes atrodamas izpildvaras normatīvajā aktā, kas balstīts uz nepietiekami precīzu pilnvarojumu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102.lpp.</w:t>
            </w:r>
            <w:r w:rsidR="00000000" w:rsidRPr="00000000" w:rsidDel="00000000">
              <w:rPr>
                <w:rtl w:val="0"/>
              </w:rPr>
              <w:t xml:space="preserve">). Nav pieļaujama situācija, ka pārkāpuma saturu patiesībā noteiktu Ministru kabinets (izpildvara).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iekārtas likuma 31.panta pirmās daļas 1.punkts noteic, ka Ministru kabinets var izdot ārējus normatīvos aktus – noteikumus, ja likums Ministru kabinetu tam īpaši pilnvarojis. Pilnvarojumā norāda tā galvenos satura virzienus.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 pēc noteikumu galveno satura virzienu norādīšanas nozīmē Saeimas obligātu saturisko virsvadību. Tas nozīmē, ka Ministru kabinets var tikai </w:t>
            </w:r>
            <w:r w:rsidR="00000000" w:rsidRPr="00000000" w:rsidDel="00000000">
              <w:rPr>
                <w:b w:val="1"/>
                <w:rtl w:val="0"/>
              </w:rPr>
              <w:t xml:space="preserve">konkretizēt (detalizēt) </w:t>
            </w:r>
            <w:r w:rsidR="00000000" w:rsidRPr="00000000" w:rsidDel="00000000">
              <w:rPr>
                <w:rtl w:val="0"/>
              </w:rPr>
              <w:t xml:space="preserve">Saeimas pieņemto likumu, pie tam šī konkretizējuma virzienam jau jābūt noteiktam Saeimas likuma pilnvarojumā. Ministru kabinets, izdodot noteikumus, nedrīkst tajos ietvert tādas normas, kas nav uzskatāmas par palīglīdzekļiem likuma normas īstenošanā. Bez tam Ministru kabinetam, īstenojot šo pilnvarojumu, protams, jāņem vērā arī visa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Jābūt skaidram pilnvarojuma mērķim, tā saturam un apjomam. Ar pilnvarojuma mērķi saprot to, ko likumdevējs centies panākt, piešķirot Ministru kabinetam tiesības noregulēt attiecīgo jautājumu (</w:t>
            </w:r>
            <w:r w:rsidR="00000000" w:rsidRPr="00000000" w:rsidDel="00000000">
              <w:rPr>
                <w:i w:val="1"/>
                <w:rtl w:val="0"/>
              </w:rPr>
              <w:t xml:space="preserve">Satversmes tiesas 2007.gada 9.oktobra sprieduma lietā Nr.2007-04-03 19.punkts</w:t>
            </w:r>
            <w:r w:rsidR="00000000" w:rsidRPr="00000000" w:rsidDel="00000000">
              <w:rPr>
                <w:rtl w:val="0"/>
              </w:rPr>
              <w:t xml:space="preserve">). Pilnvarojuma saturs atklāj tā būtību un jēgu (</w:t>
            </w:r>
            <w:r w:rsidR="00000000" w:rsidRPr="00000000" w:rsidDel="00000000">
              <w:rPr>
                <w:i w:val="1"/>
                <w:rtl w:val="0"/>
              </w:rPr>
              <w:t xml:space="preserve">Satversmes tiesas 2007.gada 9.oktobra sprieduma lietā Nr.2007-04-03 20.punkts</w:t>
            </w:r>
            <w:r w:rsidR="00000000" w:rsidRPr="00000000" w:rsidDel="00000000">
              <w:rPr>
                <w:rtl w:val="0"/>
              </w:rPr>
              <w:t xml:space="preserve">). Likumdevēja dotajam pilnvarojumam ir jābūt pietiekami skaidram un precīzam (</w:t>
            </w:r>
            <w:r w:rsidR="00000000" w:rsidRPr="00000000" w:rsidDel="00000000">
              <w:rPr>
                <w:i w:val="1"/>
                <w:rtl w:val="0"/>
              </w:rPr>
              <w:t xml:space="preserve">Satversmes tiesas 2018.gada 18.oktobra sprieduma lietā Nr.2017-33-03 14.punkts; Satversmes tiesas 2005.gada 21.novembra sprieduma lietā Nr.2005030306 10.punkts</w:t>
            </w:r>
            <w:r w:rsidR="00000000" w:rsidRPr="00000000" w:rsidDel="00000000">
              <w:rPr>
                <w:rtl w:val="0"/>
              </w:rPr>
              <w:t xml:space="preserve">). Savukārt pilnvarojuma apjoms nozīmē to jautājumu loku, kurus institūcija, īstenojot likumdevēja doto pilnvarojumu, ir tiesīga noregulēt (</w:t>
            </w:r>
            <w:r w:rsidR="00000000" w:rsidRPr="00000000" w:rsidDel="00000000">
              <w:rPr>
                <w:i w:val="1"/>
                <w:rtl w:val="0"/>
              </w:rPr>
              <w:t xml:space="preserve">Satversmes tiesas 2016.gada 2.marta sprieduma lietā Nr. 2015-11-03 23.4.punkts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gan no vispārīgo pilnvarojuma kvalitātes prasību skatpunkta, gan no sodu tiesību aspekta nav atbalstāmi tāda veida pilnvarojumi kā noteikt "prasības un kārtība niršanai jūrā". Pamatā šādam regulējumam ir jābūt ietvertam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pārskatīt visus likumprojektā "Grozījumi Jūras vides aizsardzības un pārvaldības likumā" (turpmāk – likumprojekts) un grozāmajā Jūras vides aizsardzības un pārvaldības likumā (turpmāk – likums) ietvertos pilnvarojumus Ministru kabinetam un nodrošināt regulējuma atbilstību iepriekš norādītajām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Par niršanu, neievērojot prasības niršanai jūrā vai nepaziņojot par plānoto niršanu, piemēro brīdinājumu vai naudas sodu līdz septiņdesmit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Pārkāpuma formulējumā nav norādītas nepieciešamās pārkāpuma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par kādu prasību niršanai jūrā neievērošanu vai par neziņošanu kādai iestādei var tikt piemērota administratīvā atbildība.  Lūdzam pārformulēt normu, lai ikvienam būtu skaidrs, par ko persona var tikt sodīta. Pārkāpuma pazīmēm izsmeļoši jābūt norādītām pārkāpuma formulējumā. Kā iepriekš minēts, nav pieļaujams, ka pārkāpuma saturu faktiski noteiktu Ministru kabinets ("neievērojot prasības niršanai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Par niršanu aizliegtajā teritorijā piemēro naudas sodu no deviņām līdz simt četrdesmit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likuma 21.panta otrās daļas izteikšanas jaunā redakcijā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spēkā esošā likuma 21.panta otrā daļā nosaka: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niršanu aizliegtajā teritorijā piemēro naudas sodu no deviņām līdz simt četrdesmit naudas soda vienībām."  Līdz ar to likumprojekta 2.pantā ietverta likuma 21.panta otrā daļa ir identiska spēkā esošajai normai.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norādīt alternatīvos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(turpmāk – anotācija) 1.3.apakšsadaļā ir norādīts, ka ir izvērtēti alternatīvie risinājumi. Saistībā ar minēto lūdzam precizēt anotācijas 1.3.apakšsadaļu, norādot visus iespējamos risinājumus mērķa sasniegšanai, tostarp izvērtētās alternatīvas.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likumprojekta 2.pantu nav izvērtēti administratīvās atbildības nepieciešamības un pieļaujamības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54.lpp.</w:t>
            </w:r>
            <w:r w:rsidR="00000000" w:rsidRPr="00000000" w:rsidDel="00000000">
              <w:rPr>
                <w:rtl w:val="0"/>
              </w:rPr>
              <w:t xml:space="preserve">).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2.lpp. Pieejams: http://polsis.mk.gov.lv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55.lpp.</w:t>
            </w:r>
            <w:r w:rsidR="00000000" w:rsidRPr="00000000" w:rsidDel="00000000">
              <w:rPr>
                <w:rtl w:val="0"/>
              </w:rPr>
              <w:t xml:space="preserve">). Latvijā valsts pārvaldei ir raksturīgi meklēt iespēju personu sodīt par pienākumu nepildīšanu, bet nereti netiek saskatīta iespēja panākt pienākumu izpildi ar administratīvā procesa līdzekļiem (</w:t>
            </w:r>
            <w:r w:rsidR="00000000" w:rsidRPr="00000000" w:rsidDel="00000000">
              <w:rPr>
                <w:i w:val="1"/>
                <w:rtl w:val="0"/>
              </w:rPr>
              <w:t xml:space="preserve">Laveniece-Straupmane N., Briede J., Liholaja V., Judins A., Ziemane I. Ārkārtējā situācija: juristu viedokļi par tiesisko regulējumu un tā piemērošanu. Jurista Vārds, 17.03.2020., Nr.11</w:t>
            </w:r>
            <w:r w:rsidR="00000000" w:rsidRPr="00000000" w:rsidDel="00000000">
              <w:rPr>
                <w:rtl w:val="0"/>
              </w:rPr>
              <w:t xml:space="preserve">).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57.lpp.</w:t>
            </w:r>
            <w:r w:rsidR="00000000" w:rsidRPr="00000000" w:rsidDel="00000000">
              <w:rPr>
                <w:rtl w:val="0"/>
              </w:rPr>
              <w:t xml:space="preserve">).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likumprojektā paredzētajā gadījumā, likumprojekta anotācijā jāietver argumentēts visu iepriekš minēto kritēriju izvērtējums. Šajā gadījumā īpaša uzmanība pievēršama pārkāpuma attiecināmībai uz publiski tiesiskajām attiecībām. Administratīvā atbildība nav paredzama par prettiesisku rīcību privāto tiesību jomā! Šādos gadījumos piemērotais administratīvais sods var būt nepamatota valsts iejaukšanās privāttiesiskās attiecībās (</w:t>
            </w:r>
            <w:r w:rsidR="00000000" w:rsidRPr="00000000" w:rsidDel="00000000">
              <w:rPr>
                <w:i w:val="1"/>
                <w:rtl w:val="0"/>
              </w:rPr>
              <w:t xml:space="preserve">plašāk sk.: Danovskis E. Administratīvās atbildības likuma pamatnoteikumu svarīgākās nostādnes. Jurista Vārds, 17.12.2019., Nr.50/51/52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iekļaujams arī paredzētā pārkāpuma satura skaidrojums, tostarp jānorāda korespondējošās tiesību normas, par kuru neievērošanu būs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iekļaujams pamatojums izvēlētajam soda veidam un apmēram.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Vol.25, Iss. 3, p.599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2005.gada 26.maija secinājumu lietā C-176/03 46.punkts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izdarīšana nedrīkst būt ekonomiski izdevīga, ja salīdzina pārkāpuma rezultātā iegūto labumu un par pārkāpumu iespējamo sodu. Soda apmēra un pārkāpuma rezultātā iegūtā labuma attiecība, kā arī reālā iespēja, ka pārkāpums vispār tiks atklāts un sods piemērots, ir kritēriji, kas raksturo arī soda preventīvo (atturošo) iedarbību (</w:t>
            </w:r>
            <w:r w:rsidR="00000000" w:rsidRPr="00000000" w:rsidDel="00000000">
              <w:rPr>
                <w:i w:val="1"/>
                <w:rtl w:val="0"/>
              </w:rPr>
              <w:t xml:space="preserve">Faure M. Effective, Proportional and Dissuasive Penalties in the Implementation of the Environmental Crime and Shipsource Pollution Directives: Questions and Challenges. European Energy and Environmental Law Review, 2010, p.260)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Niršanai jūrā noteikto prasību un aizliegumu ievērošanu uzrauga un kontrolē Nacionālo bruņoto spēku Jūras spēki sadarbībā ar Valsts robežsardzi. Nacionālo bruņoto spēku Jūras spēku vai Valsts robežsardzes amatpersonām, veicot attiecībā uz niršanu jūrā noteikto prasību un aizliegumu ievērošanas uzraudzību un kontroli, ir tiesības pieprasīt, lai persona nekavējoties pārtrauc niršanu un kuģošanas līdzeklis atstāj aizliegto teritoriju, ja tās konstatē niršanai jūrā noteikto prasību vai noteikto aizliegumu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 pantā iekļautajā likuma 19.</w:t>
            </w:r>
            <w:r w:rsidR="00000000" w:rsidRPr="00000000" w:rsidDel="00000000">
              <w:rPr>
                <w:vertAlign w:val="superscript"/>
                <w:rtl w:val="0"/>
              </w:rPr>
              <w:t xml:space="preserve">1</w:t>
            </w:r>
            <w:r w:rsidR="00000000" w:rsidRPr="00000000" w:rsidDel="00000000">
              <w:rPr>
                <w:rtl w:val="0"/>
              </w:rPr>
              <w:t xml:space="preserve"> panta ceturtajā daļā lietotais termins "aizliegtā teritorija" atbilst plānotajam tiesību normas mērķim, un, ja nepieciešams, lūdzam precizēt likumprojekta 1. pantā iekļauto likuma 19.</w:t>
            </w:r>
            <w:r w:rsidR="00000000" w:rsidRPr="00000000" w:rsidDel="00000000">
              <w:rPr>
                <w:vertAlign w:val="superscript"/>
                <w:rtl w:val="0"/>
              </w:rPr>
              <w:t xml:space="preserve">1</w:t>
            </w:r>
            <w:r w:rsidR="00000000" w:rsidRPr="00000000" w:rsidDel="00000000">
              <w:rPr>
                <w:rtl w:val="0"/>
              </w:rPr>
              <w:t xml:space="preserve">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 pantā iekļautās likuma 19.</w:t>
            </w:r>
            <w:r w:rsidR="00000000" w:rsidRPr="00000000" w:rsidDel="00000000">
              <w:rPr>
                <w:vertAlign w:val="superscript"/>
                <w:rtl w:val="0"/>
              </w:rPr>
              <w:t xml:space="preserve">1</w:t>
            </w:r>
            <w:r w:rsidR="00000000" w:rsidRPr="00000000" w:rsidDel="00000000">
              <w:rPr>
                <w:rtl w:val="0"/>
              </w:rPr>
              <w:t xml:space="preserve"> ceturtās daļas iziet, ka kuģošanas līdzeklis atstāj aizliegto teritoriju, ja Nacionālo bruņoto spēku Jūras spēku vai Valsts robežsardzes amatpersonas konstatē niršanai jūrā noteikto prasību vai noteikto aizliegumu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niršanai jūrā noteikto prasību vai noteikto aizliegumu pārkāpumu var konstatēt ne tikai aizliegtajās teritorijās, bet jebkurā citā teritorijā, kurā persona nirst.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7.1., 7.2., 7.3. un 7.4.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anotācijas, Nacionālo bruņoto spēku Jūras spēku Krasta apsardzes dienestam samazināsies administratīvais slogs, vairs neveicot niršanas atļauju izsniegšanu. Tādējādi atbilstoši Ministru kabineta 2021. gada 7. septembra noteikumu Nr. 617 "Tiesību akta projekta sākotnējās ietekmes izvērtēšanas kārtība" 18. un 18.</w:t>
            </w:r>
            <w:r w:rsidR="00000000" w:rsidRPr="00000000" w:rsidDel="00000000">
              <w:rPr>
                <w:vertAlign w:val="superscript"/>
                <w:rtl w:val="0"/>
              </w:rPr>
              <w:t xml:space="preserve">2</w:t>
            </w:r>
            <w:r w:rsidR="00000000" w:rsidRPr="00000000" w:rsidDel="00000000">
              <w:rPr>
                <w:rtl w:val="0"/>
              </w:rPr>
              <w:t xml:space="preserve"> punktam lūdzam iekļaut anotācijā atbilstības izmaksu aprēķina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7.1. apakšsadaļu ar informāciju par likumprojekta izpildē iesaistītajām institūcijām, kā arī lūdzam aizpildīt anotācijas 7.4. apakšsadaļu, tā kā likumprojekts ietekmēs Nacionālo bruņoto spēku Jūras spēku Krasta apsardzes dienesta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25-TA-520</w:t>
    </w:r>
    <w:r>
      <w:br/>
    </w:r>
    <w:r w:rsidR="00000000" w:rsidRPr="00000000" w:rsidDel="00000000">
      <w:rPr>
        <w:rtl w:val="0"/>
      </w:rPr>
      <w:t xml:space="preserve">Izdrukāts 06.05.2025.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25-TA-520</w:t>
    </w:r>
    <w:r>
      <w:br/>
    </w:r>
    <w:r w:rsidR="00000000" w:rsidRPr="00000000" w:rsidDel="00000000">
      <w:rPr>
        <w:rtl w:val="0"/>
      </w:rPr>
      <w:t xml:space="preserve">Izdrukāts 06.05.2025.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Atzinumi_25-TA-520.docx</dc:title>
</cp:coreProperties>
</file>

<file path=docProps/custom.xml><?xml version="1.0" encoding="utf-8"?>
<Properties xmlns="http://schemas.openxmlformats.org/officeDocument/2006/custom-properties" xmlns:vt="http://schemas.openxmlformats.org/officeDocument/2006/docPropsVTypes"/>
</file>