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Ievadot tādus izdevumu veidus, kas nav aprakstīti 9. punktā, ministrija piemēro datu ievadīšanas principu “turpmāk ik gadu” vai vēršas pie sava budžeta resora, un budžeta resors vienojas ar Finanšu ministriju par konkrēta gadījuma ievadīšanas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nav skaidrs, kas ir domāts ar budžeta resoru. Ministrija pati jau ir ir budžeta resors, tad pie kā ministrija vēršas par datu ievadīšanas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Prioritārā pasākuma pieteikums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vidēja termiņa budžeta ietvars turpmāk plānos nākamajiem četriem gadiem – n+1, n+2, n+3 un n+4 gadam, tad arī nepieciešams pievienot vēl vienu aili n+4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Prioritāro pasākumu (tai skaitā starpnozaru) saraksts nozīmīguma secībā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vidēja termiņa budžeta ietvars turpmāk plānos nākamajiem četriem gadiem – n+1, n+2, n+3 un n+4 gadam, tad arī nepieciešams pievienot vēl vienu aili n+4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