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projektā noteiktajam Centrālajai finanšu un līgumu aģentūrai ir uzdots sagatavot un noslēgt līgumus ar rīkojumā minētajiem finansējuma saņēmējiem un attiecīgi līgumos noteikt finanšu līdzekļu izmantošanas mērķi un paredzēt finanšu līdzekļu  izlietojuma kontroli atbilstoši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Korupcijas novēršanas un apkarošanas birojs aicina papildināt likumprojekta anotāciju ar informāciju par plānotajiem finanšu līdzekļu izlietojuma kontroles pasākumiem, kurus īstenos Latvijas institūcijas. Tādējādi sabiedrībai būs skaidrs vēstījums, ka Latvijai ir rīcības plāns, kā nodrošināt Ukrainai piešķirto līdzekļu efektīvu pārvaldību un uzraudzību, kas attiecīgi sekmēs finanšu līdzekļu izlietojumu atbilstoši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12.02.2024.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12.02.2024.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Atzinumi_24-TA-166.docx</dc:title>
</cp:coreProperties>
</file>

<file path=docProps/custom.xml><?xml version="1.0" encoding="utf-8"?>
<Properties xmlns="http://schemas.openxmlformats.org/officeDocument/2006/custom-properties" xmlns:vt="http://schemas.openxmlformats.org/officeDocument/2006/docPropsVTypes"/>
</file>