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Meža inventarizācijas veicēju apvienības iebildumiem pret šī punkta grozījumiem. Starpinstitūciju sanāksmē meža inventarizācijas veicēji skaidri pamatoja, kāpēc šādi grozījumu (faktiski daļā gadījumu atsakoties no atkārtotas inventarizācijas) būtiski negatīvi ietekmēs Meža valsts reģistra datu kvalitāti. ZM šos skaidrojumus ir ignorējusi.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inventarizācijai izmantojamie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jāsvītro piezīme "14 Teritorijā, kur aizliegta mežsaimnieciskā darbība,  pieļaujamo novirzi neierobežo." Kā jau esam norādījuši iepriekš, šādi grozījumi degradēs Meža valsts reģistra datu kvalitāti. ZM ir zināms (un arī starpministriju sanāksmē norādījām), ka Meža valsts reģistra dati tiek izmantoti daudz plašāk, nekā tikai pieņemot lēmumus par koksnes ieguvi. Šī reģistra pakārtošana tikai koksnes ieguves vajadzībām nozīmētu atkāpšanos no Latvijas meža politikā un Meža likumā noteiktajiem principiem, kas nosaka, ka ilgtspējīga meža apsaimniekošana neaprobežojas tikai ar koksnes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23.07.2025.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23.07.2025.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