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pamatnostādņu 2023.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īres maksas mājokļu būvniecības atbalsta programma ir nozīmīgs instruments pieejamu mājokļu nodrošināšanai reģionos, ir nepieciešams nodrošināt patstāvīgu finansējuma pieejamību projektu īstenošanai. LPS 2024.12. jūnija   gada sarunās  bija  EM atbalstījusi iniciatīvu ikgadēji valsts budžeta prioritāro pasākumu ietvaros pieprasīt papildus finansējumu programmas nepārtrauktai īstenošanai 2025.gadā 30 millj.EUR apmērā, 2026., 2027. un 2028.gados 50 milj.EUR apmērā ik gadu.Saprotot, ka pašreizējos ierobežota finansējuma apstākļos tas varētu būt apgrūtinoši, lūdzam izvērtēt iespējas nepieciešamo finansējumu paredzēt no ES 2021 -2027 fondu pārdales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būtisku pienesumu mājokļu attīstībā, nepieciešams detalizētāk  izvērtēt papildus finanšu avotus (, institucionālie investori, pensiju fondu ieguldījumi, publiskā – privātā partnerība, u.c.)  īres dzīvokļu  attīstīšanai.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22.08.2024.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22.08.2024.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Atzinumi_24-TA-1199.docx</dc:title>
</cp:coreProperties>
</file>

<file path=docProps/custom.xml><?xml version="1.0" encoding="utf-8"?>
<Properties xmlns="http://schemas.openxmlformats.org/officeDocument/2006/custom-properties" xmlns:vt="http://schemas.openxmlformats.org/officeDocument/2006/docPropsVTypes"/>
</file>