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atgādina, ka 2024.gada septembrī valdība un sociālie partneri vienojās par nodokļu pamatnostādnēm vidējā termiņā, kuras paredzēja virkni izmaiņu Latvijas nodokļu sistēmā, un ir stājušās spēkā 2025.gadā. Iepriekš minētā vienošanās ietver arī apņemšanos, ka nodokļu sistēma netiek būtiski pārskatīta līdz 2028.gadam, jo ir svarīgi saglabāt sistēmas paredzamību nodokļu maksātājiem, potenciālajiem investoriem un citām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LDDK pauž neizpratni par to, ka valdība piedāvā ārpuskārtas nodokļu izmaiņas, kas nav apspriestas ne ar sociālajiem partneriem, ne ar nozari, tādējādi ignorējot sociālo dialogu.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novērtē, ka Klimata un enerģētikas ministrija birokrātijas mazināšanas nolūkos smilti un smilts- grants resursu veidu apvieno vienā. Tomēr nav pieļaujams, ka tiek paceltas 2025. gadā pieņemtās smilts un smilts -grants likmes ar atpakaļejošu datumu.  Vēršam uzmanību, ka spēkā esošajā redakcijā likumi.lv, 2026. gadā smilts un grants likme ir 0,45 eur/m3, bet likumprojektā tiek noteikta likme, kas stājas spēkā 2026. gada 1. janvārī kā 0,55 eur/m3.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labot esošo redakciju atbilstoši 2025. gadā pieņemtajām likmēm un piemērot likmi 0,55 eur/m3 sākot ar 2027.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Medne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05.02.2026. 20.36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05.02.2026. 20.36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Atzinumi_25-TA-745.docx</dc:title>
</cp:coreProperties>
</file>

<file path=docProps/custom.xml><?xml version="1.0" encoding="utf-8"?>
<Properties xmlns="http://schemas.openxmlformats.org/officeDocument/2006/custom-properties" xmlns:vt="http://schemas.openxmlformats.org/officeDocument/2006/docPropsVTypes"/>
</file>