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pirmtiesību izmantošanu un bezmantinieka mantas – nekustamo īpašumu Tukumā – pārņemšanu valsts īpašumā un nodošanu Tukuma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desmito daļu izmantot pirmtiesības un pārņemt valsts īpašumā par bezmantinieka mantu atzītos nekustamos īpašumus Brīvības laukumā 21 k-1-3, Tukumā, Tukuma novadā, kadastra numurs 90019002757, un Lielajā ielā 25A, Tukumā, Tukuma novadā, kadastra numurs 90010040750, un nodot tos Tukuma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paredzēts izmantot pašvaldības pirmtiesību un pārņemt valsts īpašumā nekustamos īpašumus, kas atzīti par bezmantinieka mantu, un nodot tos pašvaldībai. Lai gan Tieslietu ministrijai nav konceptuālu iebildumu pret paredzēto darbību, vēršam uzmanību, ka rīkojums neatbilst Publiskas personas mantas atsavināšanas likuma (turpmāk - PPMAL) nosacījumiem attiecībā uz pirmtiesību izmantošanu. Proti, PPMAL pirmtiesību izmantošanai noteikts konkrēts termiņš - septiņas dienas no ziņu publicēšanas valsts akciju sabiedrības "Valsts nekustamie īpašumi" mājaslapā. Norādām, ka Tieslietu ministrijas ieskatā PPMAL 5. panta devītajā daļā paredzētais termiņš ir prekluzīvs, proti, tā nokavēšanai ir sekas - pirmtiesības pēc tā nokavēšanas vairs nav izmantojamas.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redzams, ka šis termiņš nav ticis ievērots, tādējādi lūdzam norādīt pamatojumu rīkojuma virzībai, neskatoties uz to, ka termiņš pirmtiesības izmantošanai bija notecējis. Vēršam uzmanību, ka anotācijā ir jāsniedz pietiekami skaidra informācija ne tikai par nokavējuma faktu, bet arī par iemesliem, kāpēc tomēr tiek virzīts rīkojums, kas saistīts ar pirmtiesības izmantošanu, neņemot vērā tiesības izmantošanas nokavējuma faktu.  Valsts pārvalde ir pakļauta likumam un tiesībām. Tā darbojas normatīvajos aktos noteiktās kompetences ietvaros. Valsts pārvalde savas pilnvaras var izmantot tikai atbilstoši pilnvarojuma jēgai un mērķim. Tā kā normatīvo aktu regulējums šajā gadījumā ir skaidrs un nepārprotams, ar rīkojuma projektu virzību faktiski tiek radīts precedents likuma regulējuma neievērošanai un līdzīgiem izņēmumiem nākotnē. Lai Ministru kabinets varētu lemt par šāda precedenta pieļaujamību un pamatotību, anotācijā ietverams atbilstošs paskaidrojums un pamatojums šāda risinājuma attaisnošanai. Tajā skaitā, norādot apsvērumus, kāpēc pie konkrētās situācijas faktiskajiem apstākļiem, secināts, ka tomēr nav iespējams vai nav lietderīgi izmantot likumā noteikto iespēju iegūt īpašumu izsoles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tiesiskās skaidrības labad lūdzam papildināt anotāciju, </w:t>
            </w:r>
            <w:r w:rsidR="00000000" w:rsidRPr="00000000" w:rsidDel="00000000">
              <w:rPr>
                <w:rtl w:val="0"/>
              </w:rPr>
              <w:t xml:space="preserve">atspoguļojot informāciju par to, vai mantojuma lietās bija pieteiktas kādas citu kreditoru pretenzijas un vai ar šī rīkojuma virzīšanu potenciāli netiek aizskartas to tiesības.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25-TA-711</w:t>
    </w:r>
    <w:r>
      <w:br/>
    </w:r>
    <w:r w:rsidR="00000000" w:rsidRPr="00000000" w:rsidDel="00000000">
      <w:rPr>
        <w:rtl w:val="0"/>
      </w:rPr>
      <w:t xml:space="preserve">Izdrukāts 25.04.2025.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25-TA-711</w:t>
    </w:r>
    <w:r>
      <w:br/>
    </w:r>
    <w:r w:rsidR="00000000" w:rsidRPr="00000000" w:rsidDel="00000000">
      <w:rPr>
        <w:rtl w:val="0"/>
      </w:rPr>
      <w:t xml:space="preserve">Izdrukāts 25.04.2025.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Atzinumi_25-TA-711.docx</dc:title>
</cp:coreProperties>
</file>

<file path=docProps/custom.xml><?xml version="1.0" encoding="utf-8"?>
<Properties xmlns="http://schemas.openxmlformats.org/officeDocument/2006/custom-properties" xmlns:vt="http://schemas.openxmlformats.org/officeDocument/2006/docPropsVTypes"/>
</file>