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Centrālajai finanšu un līgumu aģentūrai kā Eiropas Savienības fondu sadarbības iestādei veikt 4.3.1.3. pasākuma "Sociālo mājokļu atjaunošana vai jaunu sociālo mājokļu būvniecība" 2.atlases kārtas projektu iesniegumu atlases ietvaros iesniegto projektu iesniegumu vērtēšanu.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3.punktu šādā redakcijā, lai nodrošinātu normas viennozīmīgu izpratni tās lietotājiem.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Centrālajai finanšu un līgumu aģentūrai kā Eiropas Savienības fondu sadarbības iestādei veikt 4.3.1.3. pasākuma "Sociālo mājokļu atjaunošana vai jaunu sociālo mājokļu būvniecība" (turpmāk – 4.3.1.3. pasākums) otrās projekta iesniegumu atlases kārtas projektu iesniegumu atlasi par visu minētajai atlases kārtai plānoto finansējumu, t.sk. Eiropas Reģionālās attīstības fonda (turpmāk – ERAF) elastības finansējumu ne vairāk kā 4 926 945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Atļaut Centrālajai finanšu un līgumu aģentūrai kā Eiropas Savienības fondu sadarbības iestādei pēc projektu iesniegumu apstiprināšanas 4.3.1.3. pasākuma "Sociālo mājokļu atjaunošana vai jaunu sociālo mājokļu būvniecība" 2.atlases kārtas projektu iesniegumu atlases ietvaros slēgt ar finansējuma saņēmējiem vienošanās par projektu īstenošanu, tai skaitā, par ERAF elastības finansējumu ne vairāk kā 4 926 945</w:t>
            </w:r>
            <w:r w:rsidR="00000000" w:rsidRPr="00000000" w:rsidDel="00000000">
              <w:rPr>
                <w:i w:val="1"/>
                <w:rtl w:val="0"/>
              </w:rPr>
              <w:t xml:space="preserve"> euro</w:t>
            </w:r>
            <w:r w:rsidR="00000000" w:rsidRPr="00000000" w:rsidDel="00000000">
              <w:rPr>
                <w:rtl w:val="0"/>
              </w:rPr>
              <w:t xml:space="preserve"> apmērā, pēc Eiropas Komisijas lēmuma par grozījumiem Programmā, kas skar 4.3.1.3. pasākuma otrās projektu iesniegumu atlases kārtas elastības finansējuma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Ministru kabineta sēdes protokollēmuma projekta 4.punktu šādā redakcijā, lai nodrošinātu viennozīmīgu normas izpratni tās lietotājiem.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Atļaut Centrālajai finanšu un līgumu aģentūrai kā Eiropas Savienības fondu sadarbības iestādei pēc projektu iesniegumu apstiprināšanas 4.3.1.3. pasākuma otrās atlases kārtas projektu iesniegumu atlases ietvaros slēgt ar finansējuma saņēmējiem līgumu vai vienošanās par projektu īstenošanu par ERAF elastības finansējumu ne vairāk kā 4 926 945 euro apmērā, pēc pozitīva Eiropas Komisijas lēmuma par grozījumiem Eiropas Savienības kohēzijas politikas programmā 2021.–2027. gadam (turpmāk – Programma), kas skar 4.3.1.3. pasākuma otrās projektu iesniegumu atlases kārtas elastības finansējuma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ietvaros ir atbalstāmas šādas darbības, kas sekmē šo noteikumu </w:t>
            </w:r>
            <w:r w:rsidR="00000000" w:rsidRPr="00000000" w:rsidDel="00000000">
              <w:rPr>
                <w:rtl w:val="0"/>
              </w:rPr>
              <w:t xml:space="preserve">4.</w:t>
            </w:r>
            <w:r w:rsidR="00000000" w:rsidRPr="00000000" w:rsidDel="00000000">
              <w:rPr>
                <w:rtl w:val="0"/>
              </w:rPr>
              <w:t xml:space="preserve"> punktā minēto rādītāju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salīdzinājumā ar iepriekšējo noteikumu (grozījumu) projekta redakciju tiek precizēta Ministru kabineta 2023. gada 19. septembra noteikumu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 (turpmāk - noteikumi Nr. 538) 23. punkta apakšpunktu numerācija, lūdzam pārskatīt noteikumu (grozījumu) projektā un noteikumos Nr. 538 ietvertās atsauces uz 23. punkta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w:t>
            </w:r>
            <w:r w:rsidR="00000000" w:rsidRPr="00000000" w:rsidDel="00000000">
              <w:rPr>
                <w:rtl w:val="0"/>
              </w:rPr>
              <w:t xml:space="preserve">23.</w:t>
            </w:r>
            <w:r w:rsidR="00000000" w:rsidRPr="00000000" w:rsidDel="00000000">
              <w:rPr>
                <w:rtl w:val="0"/>
              </w:rPr>
              <w:t xml:space="preserve"> punktā minētās darbības ir atbalstāmas, ja projekta iesnieguma iesniegšanas brīdī visiem projekta iesniegumā paredzētajiem būvdarbiem ir vismaz šāda gatavība: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Nr. 538 24. punktā un 40.20. apakšpunktā noteiktās prasības, atbilstoši Finanšu ministrijas 2025. gada 3. aprīļa vēstulē Nr. 5.1-24/21/1043 par administratīvā sloga mazināšanu un normatīvā regulējuma pārskatīšanu minētajam. Vienlaikus lūdzam attiecīgi pārskatīt 4.3.1.3. pasākuma "Sociālo mājokļu atjaunošana vai jaunu sociālo mājokļu būvniecība" projektu iesniegumu vērtēšanas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 (Inga Lapsa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16.04.2025. 15.05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16.04.2025. 15.05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Atzinumi_25-TA-378.docx</dc:title>
</cp:coreProperties>
</file>

<file path=docProps/custom.xml><?xml version="1.0" encoding="utf-8"?>
<Properties xmlns="http://schemas.openxmlformats.org/officeDocument/2006/custom-properties" xmlns:vt="http://schemas.openxmlformats.org/officeDocument/2006/docPropsVTypes"/>
</file>