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pamatojoties uz Valsts Tehniskās uzraudzības aģentūras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1.8. apakšpunkta redakcijas izriet, ka 38. un 38.</w:t>
            </w:r>
            <w:r w:rsidR="00000000" w:rsidRPr="00000000" w:rsidDel="00000000">
              <w:rPr>
                <w:vertAlign w:val="superscript"/>
                <w:rtl w:val="0"/>
              </w:rPr>
              <w:t xml:space="preserve">2</w:t>
            </w:r>
            <w:r w:rsidR="00000000" w:rsidRPr="00000000" w:rsidDel="00000000">
              <w:rPr>
                <w:rtl w:val="0"/>
              </w:rPr>
              <w:t xml:space="preserve"> punktā paredzētiem pārvadājumiem, lielgabarīta un smagsvara atļaujas (atļauja) var izsniegt tikai tai traktortehnikai, kurai Valsts Tehniskās uzraudzības aģentūra (VTUA) ir devis atļauju piedalīties ceļu satiksmē. Informējam, ka Ceļu satiksmes likuma 10.panta (1</w:t>
            </w:r>
            <w:r w:rsidR="00000000" w:rsidRPr="00000000" w:rsidDel="00000000">
              <w:rPr>
                <w:vertAlign w:val="superscript"/>
                <w:rtl w:val="0"/>
              </w:rPr>
              <w:t xml:space="preserve">2</w:t>
            </w:r>
            <w:r w:rsidR="00000000" w:rsidRPr="00000000" w:rsidDel="00000000">
              <w:rPr>
                <w:rtl w:val="0"/>
              </w:rPr>
              <w:t xml:space="preserve">) daļa, ļauj līdz trim mēnešiem piedalās ceļu satiksmē  ar ārvalstīs reģistrētu traktortehniku. Līdz ar to, grozījuma projektā piedāvātā redakcija, liegs saņemt atļauju ārvalstīs reģistrētai traktortehnikai, kuru parametri pārsniedz kādu no Ceļu satiksmes noteikumu 2. pielikumā minēto lielumu. Lai nepieļautu konkurences kropļošanu un neierobežotu brīvu preču apriti Eiropas savienības teritorijā un, lai Latvijas teritorijā ārvalstīs reģistrēta traktortehnika spētu pilnvērtīgi veikt lielgabarīta un smagsvara pārvadājumus, noteikumu projekta 1.38. un 1.40. apakšpunkta piedāvātā redakcija Noteikumu Nr.343 38. un 38.</w:t>
            </w:r>
            <w:r w:rsidR="00000000" w:rsidRPr="00000000" w:rsidDel="00000000">
              <w:rPr>
                <w:vertAlign w:val="superscript"/>
                <w:rtl w:val="0"/>
              </w:rPr>
              <w:t xml:space="preserve">2</w:t>
            </w:r>
            <w:r w:rsidR="00000000" w:rsidRPr="00000000" w:rsidDel="00000000">
              <w:rPr>
                <w:rtl w:val="0"/>
              </w:rPr>
              <w:t xml:space="preserve"> punktā ir jābūt attiecināmai arī uz ārvalstīs reģistrētu traktortehniku.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un automatizētu atļauja izsniegšanas kārtību Latvijā reģistrētai traktortehnikai, valsts sabiedrība ar ierobežotu atbildību "Latvijas Valsts ceļi" sadarbībā ar VTUA izveidos tiešsaistes savienojumu ar Traktortehnikas un tās vadītāju valsts informatīvajā sistēmu, lai no sistēmas automātiski saņemtu informāciju par aģentūrā reģistrētās traktortehnikas tehniskās apskates statusu. Gadījumā, ja saņemtā informācija ir negatīva, tad valsts sabiedrība ar ierobežotu atbildību "Latvijas Valsts ceļi" vērtē to atbilstoši noteikumu Nr. 343 redzētājā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Atļauju šo noteikumu 38. un 38.2 punktā paredzētiem pārvadājumiem, uz gadu izsniedz traktortehnikai ar derīgu tehnisko apskati.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Atļauju izsniedz traktortehnikas piekabei, kuras platums nepārsniedz 3 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(21.12.2022.) izteikto iebildumu attiecībā uz šo noteikumu grozījumu projekta 38.2 punktu ar tur minētajiem iebildumiem. Zemkopības ministrija var atsaukt šo iebildumu, ja tiek ņemts vērā ZM priekšlikums attiecībā uz 38.punkta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 noteic, ka</w:t>
            </w:r>
            <w:r w:rsidR="00000000" w:rsidRPr="00000000" w:rsidDel="00000000">
              <w:rPr>
                <w:i w:val="1"/>
                <w:rtl w:val="0"/>
              </w:rPr>
              <w:t xml:space="preserve"> atbilstoši Noteikumu Nr.343 redakcijai visas LSP atļaujas ir jāsaskaņo ar ceļa īpašnieku (pašvaldībām) vai to pilnvarotām personām, kas pie nebūtiskiem LSP kravu pārvadājumiem, rada nevajadzīgu administratīvo slogu. Nepieciešams noteikt minimālos LSP gabarītus, pie kuriem šāds saskaņojums būtu veicams, piem H=4,5 m, W=3,49 m, L=22 m un faktiskā masa 52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Nr. 343 13.3.1. punktā nosaka, ka </w:t>
            </w:r>
            <w:r w:rsidR="00000000" w:rsidRPr="00000000" w:rsidDel="00000000">
              <w:rPr>
                <w:i w:val="1"/>
                <w:rtl w:val="0"/>
              </w:rPr>
              <w:t xml:space="preserve">VSIA "Latvijas Valsts ceļi" izvērtē atļaujas pieteikumu un ja nepieciešams, saskaņo pārvadājuma maršrutu ar ceļu (ielu) īpašnieku vai tā pilnvarotu personu pārvadājumam pa tā ceļiem, ja vismaz viens no transportlīdzekļa vai transportlīdzekļu sastāva parametriem pārsniedz:</w:t>
            </w:r>
            <w:r w:rsidR="00000000" w:rsidRPr="00000000" w:rsidDel="00000000">
              <w:rPr>
                <w:i w:val="1"/>
                <w:rtl w:val="0"/>
              </w:rPr>
              <w:t xml:space="preserve">13.3.1.1. augstums no brauktuves virsmas – 4,5 m;</w:t>
            </w:r>
            <w:r w:rsidR="00000000" w:rsidRPr="00000000" w:rsidDel="00000000">
              <w:rPr>
                <w:i w:val="1"/>
                <w:rtl w:val="0"/>
              </w:rPr>
              <w:t xml:space="preserve">13.3.1.2. platums – 3,49 m;</w:t>
            </w:r>
            <w:r w:rsidR="00000000" w:rsidRPr="00000000" w:rsidDel="00000000">
              <w:rPr>
                <w:i w:val="1"/>
                <w:rtl w:val="0"/>
              </w:rPr>
              <w:t xml:space="preserve">13.3.1.3. garums – 22 m;</w:t>
            </w:r>
            <w:r w:rsidR="00000000" w:rsidRPr="00000000" w:rsidDel="00000000">
              <w:rPr>
                <w:i w:val="1"/>
                <w:rtl w:val="0"/>
              </w:rPr>
              <w:t xml:space="preserve">13.3.1.4. faktiskā masa – 52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saskaņojums nav nepieciešams, ja minētos parametrus nepārsniedz, neattiecas uz atļaujām saskaņā ar Noteikumu Nr. 343 33.-385. punktos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Noteikumu Nr. 343 33.-385. punktos noteikto atļauju gadījumos būtu jānosaka, ka saskaņojums no citu ceļu īpašniekiem nepieciešams tikai tad, ja tiek pārsniegts kāds no Noteikumu Nr. 343 13.3.1. punkta apakšpunktos minētajiem parametriem.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Lielgabarīta transportlīdzekli apzīmē: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 gada 6. aprīļa noteikumu Nr. 343 "Noteikumi par lielgabarīta un smagsvara pārvadājumiem" (turpmāk – Noteikumi Nr. 343) 28.1.-28.2.punkti ir attiecināti uz visiem “Lielgabarīta” transportlīdzekļiem. Saskaņā ar Noteikumu Nr. 343 3. punkta noteikumiem, </w:t>
            </w:r>
            <w:r w:rsidR="00000000" w:rsidRPr="00000000" w:rsidDel="00000000">
              <w:rPr>
                <w:i w:val="1"/>
                <w:rtl w:val="0"/>
              </w:rPr>
              <w:t xml:space="preserve">Lielgabarīta transportlīdzeklis ir mehāniskais transportlīdzeklis vai tā sastāvs (ar kravu vai bez tās), kuram vismaz viens izmērs pārsniedz Ceļu satiksmes noteikumu 2. pielikumā minēto lielumu. [..].</w:t>
            </w:r>
            <w:r w:rsidR="00000000" w:rsidRPr="00000000" w:rsidDel="00000000">
              <w:rPr>
                <w:i w:val="1"/>
                <w:rtl w:val="0"/>
              </w:rPr>
              <w:t xml:space="preserve">Noteikumu Nr. 343 28.1.-28.2. punkti būtu attiecināmi nevis uz jebkuru lielgabarīta transportlīdzekli, bet tikai uz tiem, kuriem ir pārsniegti platuma parametri, jo, piemēram, transportlīdzeklim, kuram saskaņā ar atļauju ir pārsniegts augstums (piemēram, Noteikumu Nr. 343 36. punkta gadījumā - pārsniegts tikai augstums), šādus apzīmējumus nemaz nav, kur izvietot, vai tiem nav jēgas, jo tie būs izvietoti aiz transportlīdzekļa kabīnes.</w:t>
            </w:r>
            <w:r w:rsidR="00000000" w:rsidRPr="00000000" w:rsidDel="00000000">
              <w:rPr>
                <w:i w:val="1"/>
                <w:rtl w:val="0"/>
              </w:rPr>
              <w:t xml:space="preserve">Noteikt, ka Noteikumu Nr. 343 28.1.-28.2. punkti attiecas tikai uz tiem lielgabarīta transportlīdzekļiem, kuriem platuma gabarīti pārsniedz Ministru kabineta 2015. gada 2. jūnija noteikumu Nr. 279 “Ceļu satiksmes noteikumi” 2.pielikumā minētos platuma lielumus.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10</w:t>
            </w:r>
            <w:r w:rsidR="00000000" w:rsidRPr="00000000" w:rsidDel="00000000">
              <w:rPr>
                <w:vertAlign w:val="superscript"/>
                <w:rtl w:val="0"/>
              </w:rPr>
              <w:t xml:space="preserve">2</w:t>
            </w:r>
            <w:r w:rsidR="00000000" w:rsidRPr="00000000" w:rsidDel="00000000">
              <w:rPr>
                <w:rtl w:val="0"/>
              </w:rPr>
              <w:t xml:space="preserve">) daļu, maināma velkama iekārta var būt ar kravas platformu, lai uz laiku glabātu visus materiālus, kas ražoti vai vajadzīgi darba laikā. Līdz ar to, maināmo velkamo iekārtu tehnoloģiskie risinājumi paredz to ka, ar maināmo velkamo iekārtu ir iespējama kravu vešana, lai tā spētu izpildīt tai paredzēto tehnoloģisko darbību, piemēram, augu/koku/krūmu aizsardzības līdzekļu izsmidzināšanai, minerālmēslu, kaļķojumā materiālu, kūtsmēslu, digestāta, izkliedēšanai, graudu vai sakņaugu pārkraušanai, u.c. Maināmā velkamā iekārta ir paredzēta kravu vešanai, bet tās nav paredzēta kravu pārvadājuma veikšanai. Karvu pārvadājumi tiek veikti ar piekabēm.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1.38. apakšpunktā ir teikts, ka atļauju izsniedz par traktortehniku ar maināmo velkamo iekārtu, kas nav paredzēta kravas vešanai. No noteikumu projekta 1.38. apakšpunktā redakcijas ir skaidri saprotams, ka 12 mēneša atļauja nav attiecināma uz traktortehniku ar maināmo velkamo iekārtu, kas paredzēta kravas vešanai. Lai no traktortehnikai paredzētā atļaujas loka, nepamatoti tiktu izslēgtas maināmās velkamās iekārtas piedāvājam izvērtēšanai sekojošas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1.38. apakšpunktā redakcijas svītrot vārdus “kas nav paredzēta kravas vešanai”, jo no apakšpunkta redakcijas ir skaidri saprotams, ka prasības attiecās tikai uz traktortehniku vai traktortehniku savienojumā (sastāvā) ar maināmo tehnoloģisko agregātu vai maināmo velkamo iekārtu. Nav nepieciešams akcentēt kravas pārvadāšanas jomu, jo konkrētais apakšpunkts neattiecas uz traktortehnikas sastāvu ar piekabēm kravu pārvadājumu veikšanai,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343 1.punktā ir teikts, ka noteikumi nosaka kārtību, kādā izsniedz lielgabarīta un smagsvara pārvadājumu atļaujas, kā arī kārtību, kādā tiek veikti šie pārvadājumi, un gadījumus, kad atļauja nav nepieciešama. Tādējādi aicinām lietot vienotu terminoloģiju un noteikumu projekta 1.38. apakšpunktā redakcijā aizstāt vārdus “kravas vešanai” ar vārdiem “ kravu pārvadājumu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“38. Atļauju izsniedz par traktortehniku ar maināmo tehnoloģisko agregātu vai maināmo velkamo iekārtu, vai bez tiem, ja to kopējie parametri nepārsniedz:”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“38. Atļauju izsniedz par traktortehniku ar maināmo tehnoloģisko agregātu vai maināmo velkamo iekārtu, kas nav paredzēta kravas pārvadājumu veikšanai,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21.03.2023.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21.03.2023.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