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"Piejūras slimnīca" peļņas daļu par 2023.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“Pašreizējā situācija, problēmas un risinājumi” punktā “Pašreizējā situācija” norādīts, ka gada darbības rezultātu ietekmēja gan valsts sniegtais atbalsts </w:t>
            </w:r>
            <w:r w:rsidR="00000000" w:rsidRPr="00000000" w:rsidDel="00000000">
              <w:rPr>
                <w:u w:val="single"/>
                <w:rtl w:val="0"/>
              </w:rPr>
              <w:t xml:space="preserve">ēdināšanas izmaksu pieauguma kompensācijai</w:t>
            </w:r>
            <w:r w:rsidR="00000000" w:rsidRPr="00000000" w:rsidDel="00000000">
              <w:rPr>
                <w:rtl w:val="0"/>
              </w:rPr>
              <w:t xml:space="preserve">, gan pacientu skaita pieaugums. Ņemot vērā minēto, nepieciešams anotācijā sniegt detalizētu skaidrojumu, kāpēc šāda situācija ir izveidojusies, ka valsts apmaksātajos tarifos ir noteiktas izmaksas (izmaksai “E – izdevumi, saistīti ar pacientu ēdināšanu”), kas pārsniedz faktiskās izmaksas, kā rezultātā kapitālsabiedrībai izveidojot peļņu.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projektā un anotācijā sniegtās informācijas izriet, ka tiek ierosināts valstij dividendēs izmaksājamo 2023.gada peļņas daļu 129 062 </w:t>
            </w:r>
            <w:r w:rsidR="00000000" w:rsidRPr="00000000" w:rsidDel="00000000">
              <w:rPr>
                <w:i w:val="1"/>
                <w:rtl w:val="0"/>
              </w:rPr>
              <w:t xml:space="preserve">euro</w:t>
            </w:r>
            <w:r w:rsidR="00000000" w:rsidRPr="00000000" w:rsidDel="00000000">
              <w:rPr>
                <w:rtl w:val="0"/>
              </w:rPr>
              <w:t xml:space="preserve"> apmērā novirzīt kapitālsabiedrības aprīkojuma iegādei Uzņemšanas nodaļai pēc plānotās Uzņemšanas nodaļas rekonstrukcijas saimnieciskas darbības veikšanai. Tomēr anotācijā nav sniegts skaidrojums par to, vai attiecīgais finansējums tiks novirzīts tikai valsts apmaksāto veselības pakalpojumu nodrošināšanai, atbalsts kurai tiek piešķirts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 (turpmāk - VTNP lēmums) vai arī maksas pakalpojumiem. Skaidrojam, ka atbalsts anotācijā iekļauto ārstniecības vai veselības aprūpes pakalpojumu nodrošināšanai ir kvalificējams kā komercdarbības atbalsts saimnieciskai darbībai, kam nepieciešams piemērot atbilstīgu komercdarbības atbalsta regulējumu, piemēram – VTNP lēmumu, kas ir piemērojams tikai attiecībā uz publisko līdzekļu piešķiršanu tādu pakalpojumu sniegšanai un tādā apmērā, cik tas ir sasaistīts ar uzlikto pienākumu sniegt attiecīgo vispārējas tautsaimnieciskas nozīmes pakalpojumu – valsts apmaksāto veselības pakalpojumu nodrošināšanu noslēgtā deleģējuma līguma ietvaros ar Nacionālo veselības dienestu (turpmāk –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Veselības ministriju izvērtēt plānotā finansējuma izlietošanas mērķi un papildināt Ministru kabineta rīkojuma projektu ar piemērojamā komercdarbības atbalsta regulējuma nosacījumiem un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aizpildīts anotācijas 3.sadaļas “Tiesību akta projekta ietekme uz valsts budžetu un pašvaldību budžetiem” 6.punkts, nav saprotama anotācijas 3.sadaļas 1., 3., 5.punktā un 1.1. un 3.1.apakšpunktā norādītā informācija un tās saistība ar MK rīkojuma projektā paredzēto. Līdz ar to precizējama anotācijas 3.sadaļa.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24-TA-1820</w:t>
    </w:r>
    <w:r>
      <w:br/>
    </w:r>
    <w:r w:rsidR="00000000" w:rsidRPr="00000000" w:rsidDel="00000000">
      <w:rPr>
        <w:rtl w:val="0"/>
      </w:rPr>
      <w:t xml:space="preserve">Izdrukāts 08.08.2024.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24-TA-1820</w:t>
    </w:r>
    <w:r>
      <w:br/>
    </w:r>
    <w:r w:rsidR="00000000" w:rsidRPr="00000000" w:rsidDel="00000000">
      <w:rPr>
        <w:rtl w:val="0"/>
      </w:rPr>
      <w:t xml:space="preserve">Izdrukāts 08.08.2024.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Atzinumi_24-TA-1820.docx</dc:title>
</cp:coreProperties>
</file>

<file path=docProps/custom.xml><?xml version="1.0" encoding="utf-8"?>
<Properties xmlns="http://schemas.openxmlformats.org/officeDocument/2006/custom-properties" xmlns:vt="http://schemas.openxmlformats.org/officeDocument/2006/docPropsVTypes"/>
</file>