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0D59" w14:textId="4C65D9B5" w:rsidR="002710F5" w:rsidRDefault="002710F5" w:rsidP="002710F5">
      <w:pPr>
        <w:pStyle w:val="NormalWeb"/>
      </w:pPr>
      <w:r>
        <w:rPr>
          <w:noProof/>
        </w:rPr>
        <w:drawing>
          <wp:anchor distT="0" distB="0" distL="114300" distR="114300" simplePos="0" relativeHeight="251658240" behindDoc="0" locked="0" layoutInCell="1" allowOverlap="1" wp14:anchorId="7A5DC227" wp14:editId="0A02ED3D">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14:paraId="7D91BC08" w14:textId="630B50CF" w:rsidR="00DC2E84" w:rsidRDefault="00DC2E84" w:rsidP="00DC2E84">
      <w:pPr>
        <w:pStyle w:val="NormalWeb"/>
      </w:pPr>
    </w:p>
    <w:p w14:paraId="0C9F0F23" w14:textId="6EB3817B" w:rsidR="001E062D" w:rsidRDefault="001E062D" w:rsidP="00081B6F"/>
    <w:p w14:paraId="594099B2" w14:textId="77777777" w:rsidR="002710F5" w:rsidRDefault="002710F5" w:rsidP="00DC2E84">
      <w:pPr>
        <w:spacing w:line="276" w:lineRule="auto"/>
        <w:rPr>
          <w:rFonts w:ascii="Arial" w:eastAsia="Times New Roman" w:hAnsi="Arial" w:cs="Arial"/>
          <w:iCs/>
          <w:sz w:val="22"/>
          <w:szCs w:val="22"/>
          <w:lang w:val="lv-LV"/>
        </w:rPr>
      </w:pPr>
    </w:p>
    <w:p w14:paraId="7209F841" w14:textId="0740BA88" w:rsidR="00401F4F" w:rsidRPr="00DC2E84" w:rsidRDefault="00401F4F" w:rsidP="00DC2E84">
      <w:pPr>
        <w:spacing w:line="276" w:lineRule="auto"/>
        <w:rPr>
          <w:rFonts w:ascii="Arial" w:eastAsia="Times New Roman" w:hAnsi="Arial" w:cs="Arial"/>
          <w:iCs/>
          <w:sz w:val="22"/>
          <w:szCs w:val="22"/>
          <w:lang w:val="lv-LV"/>
        </w:rPr>
      </w:pPr>
      <w:r w:rsidRPr="00DC2E84">
        <w:rPr>
          <w:rFonts w:ascii="Arial" w:eastAsia="Times New Roman" w:hAnsi="Arial" w:cs="Arial"/>
          <w:iCs/>
          <w:sz w:val="22"/>
          <w:szCs w:val="22"/>
          <w:lang w:val="lv-LV"/>
        </w:rPr>
        <w:t>Mārupes novadā</w:t>
      </w:r>
    </w:p>
    <w:p w14:paraId="0385B7C6" w14:textId="77777777" w:rsidR="00401F4F" w:rsidRPr="00401F4F" w:rsidRDefault="00401F4F" w:rsidP="00401F4F">
      <w:pPr>
        <w:ind w:left="1440" w:firstLine="720"/>
        <w:jc w:val="right"/>
        <w:rPr>
          <w:rFonts w:ascii="Times New Roman" w:eastAsia="Calibri" w:hAnsi="Times New Roman" w:cs="Times New Roman"/>
          <w:b/>
          <w:color w:val="000000"/>
          <w:lang w:val="lv-LV" w:eastAsia="lv-LV"/>
        </w:rPr>
      </w:pPr>
    </w:p>
    <w:p w14:paraId="3BE7D89C" w14:textId="77777777" w:rsidR="00401F4F" w:rsidRPr="00401F4F" w:rsidRDefault="00401F4F" w:rsidP="00401F4F">
      <w:pPr>
        <w:ind w:left="1440" w:firstLine="720"/>
        <w:jc w:val="right"/>
        <w:rPr>
          <w:rFonts w:ascii="Times New Roman" w:eastAsia="Calibri" w:hAnsi="Times New Roman" w:cs="Times New Roman"/>
          <w:b/>
          <w:color w:val="000000"/>
          <w:lang w:val="lv-LV" w:eastAsia="lv-LV"/>
        </w:rPr>
      </w:pPr>
    </w:p>
    <w:tbl>
      <w:tblPr>
        <w:tblStyle w:val="TableGrid"/>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tblGrid>
      <w:tr w:rsidR="00401F4F" w:rsidRPr="00401F4F" w14:paraId="301BE328" w14:textId="77777777" w:rsidTr="008D124A">
        <w:tc>
          <w:tcPr>
            <w:tcW w:w="4104" w:type="dxa"/>
          </w:tcPr>
          <w:p w14:paraId="486D9C8F" w14:textId="77777777" w:rsidR="00401F4F" w:rsidRPr="00401F4F" w:rsidRDefault="00401F4F" w:rsidP="00401F4F">
            <w:pPr>
              <w:jc w:val="right"/>
              <w:rPr>
                <w:rFonts w:ascii="Times New Roman" w:eastAsia="Calibri" w:hAnsi="Times New Roman" w:cs="Times New Roman"/>
                <w:b/>
                <w:color w:val="000000"/>
              </w:rPr>
            </w:pPr>
            <w:r w:rsidRPr="00C67AAD">
              <w:rPr>
                <w:rFonts w:ascii="Arial" w:eastAsia="Calibri" w:hAnsi="Arial" w:cs="Arial"/>
                <w:b/>
                <w:bCs/>
                <w:color w:val="808080"/>
              </w:rPr>
              <w:t>LR Satiksmes ministrija</w:t>
            </w:r>
          </w:p>
        </w:tc>
      </w:tr>
      <w:tr w:rsidR="00401F4F" w:rsidRPr="00401F4F" w14:paraId="287F4188" w14:textId="77777777" w:rsidTr="008D124A">
        <w:tc>
          <w:tcPr>
            <w:tcW w:w="4104" w:type="dxa"/>
          </w:tcPr>
          <w:p w14:paraId="38E63AC4" w14:textId="77777777" w:rsidR="00401F4F" w:rsidRPr="00401F4F" w:rsidRDefault="00401F4F" w:rsidP="00401F4F">
            <w:pPr>
              <w:jc w:val="right"/>
              <w:rPr>
                <w:rFonts w:ascii="Times New Roman" w:eastAsia="Times New Roman" w:hAnsi="Times New Roman" w:cs="Times New Roman"/>
                <w:color w:val="000000"/>
                <w:sz w:val="8"/>
                <w:szCs w:val="8"/>
              </w:rPr>
            </w:pPr>
          </w:p>
          <w:p w14:paraId="736944BF" w14:textId="77777777" w:rsidR="00401F4F" w:rsidRPr="00E97BBF" w:rsidRDefault="00401F4F" w:rsidP="00401F4F">
            <w:pPr>
              <w:jc w:val="right"/>
              <w:rPr>
                <w:rFonts w:ascii="Arial" w:eastAsia="Calibri" w:hAnsi="Arial" w:cs="Arial"/>
                <w:b/>
                <w:color w:val="000000"/>
              </w:rPr>
            </w:pPr>
            <w:r w:rsidRPr="00E97BBF">
              <w:rPr>
                <w:rFonts w:ascii="Arial" w:eastAsia="Calibri" w:hAnsi="Arial" w:cs="Arial"/>
                <w:i/>
                <w:iCs/>
                <w:color w:val="808080"/>
              </w:rPr>
              <w:t>satiksmes.ministrija@sam.gov.lv</w:t>
            </w:r>
          </w:p>
        </w:tc>
      </w:tr>
    </w:tbl>
    <w:p w14:paraId="3501D8D8" w14:textId="77777777" w:rsidR="00401F4F" w:rsidRPr="00401F4F" w:rsidRDefault="00401F4F" w:rsidP="00401F4F">
      <w:pPr>
        <w:ind w:left="1440" w:firstLine="720"/>
        <w:jc w:val="right"/>
        <w:rPr>
          <w:rFonts w:ascii="Times New Roman" w:eastAsia="Calibri" w:hAnsi="Times New Roman"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00401F4F" w:rsidRPr="00401F4F" w14:paraId="3E1557A2" w14:textId="77777777" w:rsidTr="008D124A">
        <w:trPr>
          <w:trHeight w:val="300"/>
        </w:trPr>
        <w:tc>
          <w:tcPr>
            <w:tcW w:w="496" w:type="dxa"/>
            <w:noWrap/>
            <w:vAlign w:val="bottom"/>
          </w:tcPr>
          <w:p w14:paraId="22E8B987" w14:textId="77777777" w:rsidR="00401F4F" w:rsidRPr="00401F4F" w:rsidRDefault="00401F4F" w:rsidP="00401F4F">
            <w:pPr>
              <w:rPr>
                <w:rFonts w:ascii="Times New Roman" w:eastAsia="Calibri" w:hAnsi="Times New Roman" w:cs="Times New Roman"/>
                <w:color w:val="000000"/>
                <w:lang w:val="lv-LV" w:eastAsia="lv-LV"/>
              </w:rPr>
            </w:pPr>
            <w:r w:rsidRPr="00401F4F">
              <w:rPr>
                <w:rFonts w:ascii="Times New Roman" w:eastAsia="Calibri" w:hAnsi="Times New Roman" w:cs="Times New Roman"/>
                <w:color w:val="000000"/>
                <w:lang w:val="lv-LV" w:eastAsia="lv-LV"/>
              </w:rPr>
              <w:t> </w:t>
            </w:r>
          </w:p>
          <w:p w14:paraId="55222877" w14:textId="77777777" w:rsidR="00401F4F" w:rsidRPr="00401F4F" w:rsidRDefault="00401F4F" w:rsidP="00401F4F">
            <w:pPr>
              <w:rPr>
                <w:rFonts w:ascii="Times New Roman" w:eastAsia="Calibri" w:hAnsi="Times New Roman" w:cs="Times New Roman"/>
                <w:color w:val="000000"/>
                <w:lang w:val="lv-LV" w:eastAsia="lv-LV"/>
              </w:rPr>
            </w:pPr>
          </w:p>
        </w:tc>
        <w:tc>
          <w:tcPr>
            <w:tcW w:w="2022" w:type="dxa"/>
            <w:tcBorders>
              <w:bottom w:val="single" w:sz="4" w:space="0" w:color="auto"/>
            </w:tcBorders>
            <w:noWrap/>
            <w:vAlign w:val="bottom"/>
          </w:tcPr>
          <w:p w14:paraId="1A772E75" w14:textId="77777777" w:rsidR="00401F4F" w:rsidRPr="00401F4F" w:rsidRDefault="00401F4F" w:rsidP="00401F4F">
            <w:pPr>
              <w:rPr>
                <w:rFonts w:ascii="Times New Roman" w:eastAsia="Calibri" w:hAnsi="Times New Roman" w:cs="Times New Roman"/>
                <w:color w:val="000000"/>
                <w:lang w:val="lv-LV" w:eastAsia="lv-LV"/>
              </w:rPr>
            </w:pPr>
          </w:p>
        </w:tc>
        <w:tc>
          <w:tcPr>
            <w:tcW w:w="530" w:type="dxa"/>
            <w:noWrap/>
            <w:vAlign w:val="bottom"/>
          </w:tcPr>
          <w:p w14:paraId="693DEE15" w14:textId="77777777" w:rsidR="00401F4F" w:rsidRPr="00DC2E84" w:rsidRDefault="00401F4F" w:rsidP="00401F4F">
            <w:pPr>
              <w:rPr>
                <w:rFonts w:ascii="Arial" w:eastAsia="Calibri" w:hAnsi="Arial" w:cs="Arial"/>
                <w:color w:val="000000"/>
                <w:sz w:val="22"/>
                <w:szCs w:val="22"/>
                <w:lang w:val="lv-LV" w:eastAsia="lv-LV"/>
              </w:rPr>
            </w:pPr>
            <w:r w:rsidRPr="00DC2E84">
              <w:rPr>
                <w:rFonts w:ascii="Arial" w:eastAsia="Calibri" w:hAnsi="Arial" w:cs="Arial"/>
                <w:color w:val="000000"/>
                <w:sz w:val="22"/>
                <w:szCs w:val="22"/>
                <w:lang w:val="lv-LV" w:eastAsia="lv-LV"/>
              </w:rPr>
              <w:t>Nr.</w:t>
            </w:r>
          </w:p>
        </w:tc>
        <w:tc>
          <w:tcPr>
            <w:tcW w:w="1879" w:type="dxa"/>
            <w:tcBorders>
              <w:bottom w:val="single" w:sz="4" w:space="0" w:color="auto"/>
            </w:tcBorders>
            <w:noWrap/>
            <w:vAlign w:val="bottom"/>
          </w:tcPr>
          <w:p w14:paraId="07E38296" w14:textId="77777777" w:rsidR="00401F4F" w:rsidRPr="00401F4F" w:rsidRDefault="00401F4F" w:rsidP="00401F4F">
            <w:pPr>
              <w:rPr>
                <w:rFonts w:ascii="Times New Roman" w:eastAsia="Calibri" w:hAnsi="Times New Roman" w:cs="Times New Roman"/>
                <w:color w:val="000000"/>
                <w:lang w:val="lv-LV" w:eastAsia="lv-LV"/>
              </w:rPr>
            </w:pPr>
            <w:r w:rsidRPr="00C67AAD">
              <w:rPr>
                <w:rFonts w:ascii="Arial" w:eastAsia="Calibri" w:hAnsi="Arial" w:cs="Arial"/>
                <w:color w:val="808080"/>
                <w:sz w:val="22"/>
                <w:szCs w:val="22"/>
                <w:lang w:val="lv-LV" w:eastAsia="lv-LV"/>
              </w:rPr>
              <w:t>N-2025-2682</w:t>
            </w:r>
          </w:p>
        </w:tc>
      </w:tr>
    </w:tbl>
    <w:p w14:paraId="53CFC2F5" w14:textId="77777777" w:rsidR="00401F4F" w:rsidRPr="00401F4F" w:rsidRDefault="00401F4F" w:rsidP="00401F4F">
      <w:pPr>
        <w:tabs>
          <w:tab w:val="left" w:pos="0"/>
        </w:tabs>
        <w:ind w:right="-341"/>
        <w:jc w:val="both"/>
        <w:rPr>
          <w:rFonts w:ascii="Times New Roman" w:eastAsia="Calibri" w:hAnsi="Times New Roman" w:cs="Times New Roman"/>
          <w:color w:val="000000"/>
          <w:lang w:val="lv-LV" w:eastAsia="lv-LV"/>
        </w:rPr>
      </w:pPr>
    </w:p>
    <w:p w14:paraId="64771A6D" w14:textId="77777777" w:rsidR="00401F4F" w:rsidRPr="00401F4F" w:rsidRDefault="00401F4F" w:rsidP="00401F4F">
      <w:pPr>
        <w:tabs>
          <w:tab w:val="left" w:pos="0"/>
        </w:tabs>
        <w:ind w:right="-341"/>
        <w:jc w:val="both"/>
        <w:rPr>
          <w:rFonts w:ascii="Times New Roman" w:eastAsia="Calibri" w:hAnsi="Times New Roman" w:cs="Times New Roman"/>
          <w:color w:val="000000"/>
          <w:lang w:val="lv-LV" w:eastAsia="lv-LV"/>
        </w:rPr>
      </w:pPr>
    </w:p>
    <w:p w14:paraId="483DB73E" w14:textId="77777777" w:rsidR="00401F4F" w:rsidRPr="00401F4F" w:rsidRDefault="00401F4F" w:rsidP="00401F4F">
      <w:pPr>
        <w:tabs>
          <w:tab w:val="left" w:pos="0"/>
        </w:tabs>
        <w:ind w:right="-341"/>
        <w:jc w:val="both"/>
        <w:rPr>
          <w:rFonts w:ascii="Times New Roman" w:eastAsia="Calibri" w:hAnsi="Times New Roman" w:cs="Times New Roman"/>
          <w:color w:val="000000"/>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843"/>
        <w:gridCol w:w="510"/>
        <w:gridCol w:w="1919"/>
      </w:tblGrid>
      <w:tr w:rsidR="00401F4F" w:rsidRPr="00401F4F" w14:paraId="7AC8D3D3" w14:textId="77777777" w:rsidTr="008D124A">
        <w:tc>
          <w:tcPr>
            <w:tcW w:w="704" w:type="dxa"/>
          </w:tcPr>
          <w:p w14:paraId="02AB91BB" w14:textId="77777777" w:rsidR="00401F4F" w:rsidRPr="00DC2E84" w:rsidRDefault="00401F4F" w:rsidP="00401F4F">
            <w:pPr>
              <w:textAlignment w:val="center"/>
              <w:rPr>
                <w:rFonts w:ascii="Arial" w:eastAsia="Calibri" w:hAnsi="Arial" w:cs="Arial"/>
                <w:color w:val="000000"/>
              </w:rPr>
            </w:pPr>
            <w:r w:rsidRPr="00DC2E84">
              <w:rPr>
                <w:rFonts w:ascii="Arial" w:eastAsia="Calibri" w:hAnsi="Arial" w:cs="Arial"/>
                <w:color w:val="000000"/>
              </w:rPr>
              <w:t>Uz:</w:t>
            </w:r>
          </w:p>
        </w:tc>
        <w:tc>
          <w:tcPr>
            <w:tcW w:w="1843" w:type="dxa"/>
            <w:tcBorders>
              <w:bottom w:val="single" w:sz="4" w:space="0" w:color="auto"/>
            </w:tcBorders>
          </w:tcPr>
          <w:p w14:paraId="0B025BFF" w14:textId="076D9684" w:rsidR="00401F4F" w:rsidRPr="00401F4F" w:rsidRDefault="00401F4F" w:rsidP="00401F4F">
            <w:pPr>
              <w:textAlignment w:val="center"/>
              <w:rPr>
                <w:rFonts w:ascii="Times New Roman" w:eastAsia="Calibri" w:hAnsi="Times New Roman" w:cs="Times New Roman"/>
                <w:color w:val="000000"/>
              </w:rPr>
            </w:pPr>
            <w:r w:rsidRPr="00C67AAD">
              <w:rPr>
                <w:rFonts w:ascii="Arial" w:eastAsia="Calibri" w:hAnsi="Arial" w:cs="Arial"/>
                <w:color w:val="808080"/>
              </w:rPr>
              <w:t>08.12.2025</w:t>
            </w:r>
          </w:p>
        </w:tc>
        <w:tc>
          <w:tcPr>
            <w:tcW w:w="491" w:type="dxa"/>
          </w:tcPr>
          <w:p w14:paraId="74900DCB" w14:textId="77777777" w:rsidR="00401F4F" w:rsidRPr="00DC2E84" w:rsidRDefault="00401F4F" w:rsidP="00401F4F">
            <w:pPr>
              <w:textAlignment w:val="center"/>
              <w:rPr>
                <w:rFonts w:ascii="Arial" w:eastAsia="Calibri" w:hAnsi="Arial" w:cs="Arial"/>
                <w:color w:val="000000"/>
              </w:rPr>
            </w:pPr>
            <w:r w:rsidRPr="00DC2E84">
              <w:rPr>
                <w:rFonts w:ascii="Arial" w:eastAsia="Calibri" w:hAnsi="Arial" w:cs="Arial"/>
                <w:color w:val="000000"/>
              </w:rPr>
              <w:t>Nr.</w:t>
            </w:r>
          </w:p>
        </w:tc>
        <w:tc>
          <w:tcPr>
            <w:tcW w:w="1919" w:type="dxa"/>
            <w:tcBorders>
              <w:bottom w:val="single" w:sz="4" w:space="0" w:color="auto"/>
            </w:tcBorders>
          </w:tcPr>
          <w:p w14:paraId="556E1281" w14:textId="77777777" w:rsidR="00401F4F" w:rsidRPr="00401F4F" w:rsidRDefault="00401F4F" w:rsidP="00401F4F">
            <w:pPr>
              <w:textAlignment w:val="center"/>
              <w:rPr>
                <w:rFonts w:ascii="Times New Roman" w:eastAsia="Calibri" w:hAnsi="Times New Roman" w:cs="Times New Roman"/>
                <w:color w:val="000000"/>
              </w:rPr>
            </w:pPr>
            <w:r w:rsidRPr="00C67AAD">
              <w:rPr>
                <w:rFonts w:ascii="Arial" w:eastAsia="Calibri" w:hAnsi="Arial" w:cs="Arial"/>
                <w:color w:val="808080"/>
              </w:rPr>
              <w:t>Bez</w:t>
            </w:r>
          </w:p>
        </w:tc>
      </w:tr>
    </w:tbl>
    <w:p w14:paraId="05733440" w14:textId="77777777" w:rsidR="00401F4F" w:rsidRPr="00401F4F" w:rsidRDefault="00401F4F" w:rsidP="00401F4F">
      <w:pPr>
        <w:jc w:val="both"/>
        <w:rPr>
          <w:rFonts w:ascii="Times New Roman" w:eastAsia="Calibri" w:hAnsi="Times New Roman" w:cs="Times New Roman"/>
          <w:color w:val="000000"/>
          <w:sz w:val="12"/>
          <w:szCs w:val="12"/>
          <w:lang w:val="lv-LV" w:eastAsia="lv-LV"/>
        </w:rPr>
      </w:pPr>
    </w:p>
    <w:p w14:paraId="2FA832A0" w14:textId="77777777" w:rsidR="00401F4F" w:rsidRPr="00401F4F" w:rsidRDefault="00401F4F" w:rsidP="00401F4F">
      <w:pPr>
        <w:jc w:val="both"/>
        <w:rPr>
          <w:rFonts w:ascii="Times New Roman" w:eastAsia="Calibri" w:hAnsi="Times New Roman" w:cs="Times New Roman"/>
          <w:color w:val="000000"/>
          <w:lang w:val="lv-LV" w:eastAsia="lv-LV"/>
        </w:rPr>
      </w:pPr>
    </w:p>
    <w:p w14:paraId="62AAE084" w14:textId="77777777" w:rsidR="00401F4F" w:rsidRPr="00401F4F" w:rsidRDefault="00401F4F" w:rsidP="00401F4F">
      <w:pPr>
        <w:jc w:val="both"/>
        <w:rPr>
          <w:rFonts w:ascii="Times New Roman" w:eastAsia="Calibri" w:hAnsi="Times New Roman" w:cs="Times New Roman"/>
          <w:i/>
          <w:iCs/>
          <w:color w:val="000000"/>
          <w:lang w:val="lv-LV" w:eastAsia="lv-LV"/>
        </w:rPr>
      </w:pPr>
      <w:r w:rsidRPr="00C67AAD">
        <w:rPr>
          <w:rFonts w:ascii="Arial" w:eastAsia="Calibri" w:hAnsi="Arial" w:cs="Arial"/>
          <w:i/>
          <w:iCs/>
          <w:color w:val="808080"/>
          <w:lang w:val="lv-LV" w:eastAsia="lv-LV"/>
        </w:rPr>
        <w:t>Par viedokļa sniegšanu (25-TA-2070)</w:t>
      </w:r>
    </w:p>
    <w:p w14:paraId="5074113A" w14:textId="77777777" w:rsidR="00401F4F" w:rsidRPr="00401F4F" w:rsidRDefault="00401F4F" w:rsidP="00401F4F">
      <w:pPr>
        <w:jc w:val="both"/>
        <w:rPr>
          <w:rFonts w:ascii="Times New Roman" w:eastAsia="Calibri" w:hAnsi="Times New Roman" w:cs="Times New Roman"/>
          <w:color w:val="000000"/>
          <w:lang w:val="lv-LV" w:eastAsia="lv-LV"/>
        </w:rPr>
      </w:pPr>
    </w:p>
    <w:p w14:paraId="0FC5BFC8" w14:textId="77777777" w:rsidR="00401F4F" w:rsidRPr="00401F4F" w:rsidRDefault="00401F4F" w:rsidP="00401F4F">
      <w:pPr>
        <w:ind w:firstLine="567"/>
        <w:jc w:val="both"/>
        <w:rPr>
          <w:rFonts w:ascii="Times New Roman" w:eastAsia="Calibri" w:hAnsi="Times New Roman" w:cs="Times New Roman"/>
          <w:color w:val="000000"/>
          <w:sz w:val="12"/>
          <w:szCs w:val="12"/>
          <w:lang w:val="lv-LV" w:eastAsia="lv-LV"/>
        </w:rPr>
      </w:pPr>
    </w:p>
    <w:p w14:paraId="084EF701" w14:textId="77777777" w:rsidR="0049741F" w:rsidRPr="00D10688" w:rsidRDefault="0049741F" w:rsidP="0049741F">
      <w:pPr>
        <w:ind w:firstLine="567"/>
        <w:jc w:val="both"/>
        <w:rPr>
          <w:rFonts w:ascii="Arial" w:hAnsi="Arial" w:cs="Arial"/>
          <w:lang w:val="lv-LV"/>
        </w:rPr>
      </w:pPr>
      <w:r w:rsidRPr="00D10688">
        <w:rPr>
          <w:rFonts w:ascii="Arial" w:hAnsi="Arial" w:cs="Arial"/>
          <w:lang w:val="lv-LV"/>
        </w:rPr>
        <w:t>VAS “STARPTAUTISKĀ LIDOSTA “RĪGA”” (turpmāk – Lidosta) saņēmusi no Satiksmes ministrijas izskatīšanai un atzinuma sniegšanai Ekonomikas ministrijas izstrādāto noteikumu projektu “Kārtība, kādā izsludinātas enerģētiskās krīzes laikā un Starptautiskās Enerģētikas aģentūras aktivizētu koordinētu ārkārtas reaģēšanas pasākumu gadījumā tiek pārdotas valsts naftas produktu drošības rezerves” (</w:t>
      </w:r>
      <w:r w:rsidRPr="002978CB">
        <w:rPr>
          <w:rFonts w:ascii="Arial" w:hAnsi="Arial" w:cs="Arial"/>
          <w:lang w:val="lv-LV"/>
        </w:rPr>
        <w:t>25-TA-2070</w:t>
      </w:r>
      <w:r w:rsidRPr="00D10688">
        <w:rPr>
          <w:rFonts w:ascii="Arial" w:hAnsi="Arial" w:cs="Arial"/>
          <w:lang w:val="lv-LV"/>
        </w:rPr>
        <w:t>) (turpmāk – Noteikumu projekts).</w:t>
      </w:r>
    </w:p>
    <w:p w14:paraId="5866A95E" w14:textId="77777777" w:rsidR="0049741F" w:rsidRPr="00D10688" w:rsidRDefault="0049741F" w:rsidP="0049741F">
      <w:pPr>
        <w:ind w:firstLine="567"/>
        <w:jc w:val="both"/>
        <w:rPr>
          <w:rFonts w:ascii="Arial" w:hAnsi="Arial" w:cs="Arial"/>
          <w:lang w:val="lv-LV"/>
        </w:rPr>
      </w:pPr>
      <w:r w:rsidRPr="00D10688">
        <w:rPr>
          <w:rFonts w:ascii="Arial" w:hAnsi="Arial" w:cs="Arial"/>
          <w:lang w:val="lv-LV"/>
        </w:rPr>
        <w:t>Lidosta izskatījusi Noteikumu projektu, kas izstrādāts, lai noteiktu kārtību:</w:t>
      </w:r>
    </w:p>
    <w:p w14:paraId="757C6A57" w14:textId="77777777" w:rsidR="0049741F" w:rsidRPr="00D10688" w:rsidRDefault="0049741F" w:rsidP="0049741F">
      <w:pPr>
        <w:pStyle w:val="ListParagraph"/>
        <w:numPr>
          <w:ilvl w:val="0"/>
          <w:numId w:val="1"/>
        </w:numPr>
        <w:spacing w:line="240" w:lineRule="auto"/>
        <w:ind w:left="1134" w:hanging="567"/>
        <w:jc w:val="both"/>
        <w:rPr>
          <w:rFonts w:ascii="Arial" w:hAnsi="Arial" w:cs="Arial"/>
        </w:rPr>
      </w:pPr>
      <w:r w:rsidRPr="00D10688">
        <w:rPr>
          <w:rFonts w:ascii="Arial" w:hAnsi="Arial" w:cs="Arial"/>
        </w:rPr>
        <w:t xml:space="preserve">valsts naftas produktu drošības rezervju (turpmāk - drošības rezerves) pārdošanai enerģētiskās krīzes laikā; </w:t>
      </w:r>
    </w:p>
    <w:p w14:paraId="41087AB9" w14:textId="77777777" w:rsidR="0049741F" w:rsidRPr="00D10688" w:rsidRDefault="0049741F" w:rsidP="0049741F">
      <w:pPr>
        <w:pStyle w:val="ListParagraph"/>
        <w:numPr>
          <w:ilvl w:val="0"/>
          <w:numId w:val="1"/>
        </w:numPr>
        <w:spacing w:after="0" w:line="240" w:lineRule="auto"/>
        <w:ind w:left="1134" w:hanging="567"/>
        <w:jc w:val="both"/>
        <w:rPr>
          <w:rFonts w:ascii="Arial" w:hAnsi="Arial" w:cs="Arial"/>
        </w:rPr>
      </w:pPr>
      <w:r w:rsidRPr="00D10688">
        <w:rPr>
          <w:rFonts w:ascii="Arial" w:hAnsi="Arial" w:cs="Arial"/>
        </w:rPr>
        <w:t>drošības rezervju izmantošanai Starptautiskās Enerģētikas aģentūras (turpmāk - SEA) aktivizētu koordinētu ārkārtas reaģēšanas pasākumu gadījumā.</w:t>
      </w:r>
    </w:p>
    <w:p w14:paraId="7D58F36E" w14:textId="77777777" w:rsidR="0049741F" w:rsidRPr="00D10688" w:rsidRDefault="0049741F" w:rsidP="0049741F">
      <w:pPr>
        <w:ind w:firstLine="567"/>
        <w:jc w:val="both"/>
        <w:rPr>
          <w:rFonts w:ascii="Arial" w:hAnsi="Arial" w:cs="Arial"/>
          <w:lang w:val="lv-LV"/>
        </w:rPr>
      </w:pPr>
      <w:r w:rsidRPr="00D10688">
        <w:rPr>
          <w:rFonts w:ascii="Arial" w:hAnsi="Arial" w:cs="Arial"/>
          <w:lang w:val="lv-LV"/>
        </w:rPr>
        <w:t>Enerģētikas likuma 73. pantā noteikts deleģējums Ministru kabinetam noteikt kārtību, kādā drošības rezerves un aviācijas nozares uzturētās drošības rezerves pārdod izsludinātas enerģētiskās krīzes laikā pēc valsts vai pašvaldības enerģētiskās krīzes centra pieprasījuma. Savukārt Enerģētikas likuma 75.</w:t>
      </w:r>
      <w:r w:rsidRPr="00D10688">
        <w:rPr>
          <w:rFonts w:ascii="Arial" w:hAnsi="Arial" w:cs="Arial"/>
          <w:vertAlign w:val="superscript"/>
          <w:lang w:val="lv-LV"/>
        </w:rPr>
        <w:t>1</w:t>
      </w:r>
      <w:r w:rsidRPr="00D10688">
        <w:rPr>
          <w:rFonts w:ascii="Arial" w:hAnsi="Arial" w:cs="Arial"/>
          <w:lang w:val="lv-LV"/>
        </w:rPr>
        <w:t xml:space="preserve"> pants deleģē Ministru kabinetam noteikt drošības rezervju un aviācijas nozares uzturētu drošības rezervju izmantošanas kārtību un naftas produktu patēriņa ierobežošanas kārtību, ja SEA aktivizē koordinētus ārkārtas reaģēšanas pasākumus. Ievērojot, ka Latvija ir kļuvusi par SEA dalībvalsti 2024. gada 14. novembrī, Noteikumu projektā ietvertās normas ir nepieciešamas, lai transponētu nacionālajos tiesību aktos Eiropas Padomes Direktīvas 2009/119/EK prasības, kas uzliek dalībvalstīm pienākumu uzturēt jēlnaftas un/vai naftas produktu obligātās rezerves.</w:t>
      </w:r>
    </w:p>
    <w:p w14:paraId="587FB633" w14:textId="77777777" w:rsidR="0049741F" w:rsidRDefault="0049741F" w:rsidP="0049741F">
      <w:pPr>
        <w:ind w:firstLine="567"/>
        <w:jc w:val="both"/>
        <w:rPr>
          <w:rFonts w:ascii="Arial" w:hAnsi="Arial" w:cs="Arial"/>
          <w:lang w:val="lv-LV"/>
        </w:rPr>
      </w:pPr>
      <w:r w:rsidRPr="0029183F">
        <w:rPr>
          <w:rFonts w:ascii="Arial" w:hAnsi="Arial" w:cs="Arial"/>
          <w:lang w:val="lv-LV"/>
        </w:rPr>
        <w:t>[1] Noteikumu projekta anotācijas skaidrojumi apstiprina, ka regulējums ir nodalīts atbilstoši diviem krīžu scenārijiem: pārdošana krīzes gadījumā un izmantošana SEA aktivizētu pasākumu gadījumā, izpildot abas Enerģētikas likuma normas. Noteikumu projekta virsrakstā uzsvērta pārdošana enerģētiskās krīzes laikā, lai gan SEA pasākumu gadījumā Enerģētikas likuma 75.</w:t>
      </w:r>
      <w:r w:rsidRPr="0029183F">
        <w:rPr>
          <w:rFonts w:ascii="Arial" w:hAnsi="Arial" w:cs="Arial"/>
          <w:vertAlign w:val="superscript"/>
          <w:lang w:val="lv-LV"/>
        </w:rPr>
        <w:t>1</w:t>
      </w:r>
      <w:r w:rsidRPr="0029183F">
        <w:rPr>
          <w:rFonts w:ascii="Arial" w:hAnsi="Arial" w:cs="Arial"/>
          <w:lang w:val="lv-LV"/>
        </w:rPr>
        <w:t xml:space="preserve"> pantā Ministru kabinetam dots plašs deleģējums noteikt drošības rezervju izmantošanas kārtību un naftas produktu patēriņa ierobežošanas kārtību, kas ir plašāka terminoloģija, vienlaikus ietverot sevī ne tikai pārdošanu, bet arī citas rīcības (piemēram, patēriņa ierobežojumus). </w:t>
      </w:r>
    </w:p>
    <w:p w14:paraId="367DAA74" w14:textId="77777777" w:rsidR="0049741F" w:rsidRDefault="0049741F" w:rsidP="0049741F">
      <w:pPr>
        <w:ind w:firstLine="567"/>
        <w:jc w:val="both"/>
        <w:rPr>
          <w:rFonts w:ascii="Arial" w:hAnsi="Arial" w:cs="Arial"/>
          <w:lang w:val="lv-LV"/>
        </w:rPr>
      </w:pPr>
      <w:r w:rsidRPr="0029183F">
        <w:rPr>
          <w:rFonts w:ascii="Arial" w:hAnsi="Arial" w:cs="Arial"/>
          <w:lang w:val="lv-LV"/>
        </w:rPr>
        <w:lastRenderedPageBreak/>
        <w:t xml:space="preserve">Ievērojot Noteikumu projekta duālo mērķi, kas tiek risināts ar atšķirīgiem mehānismiem lēmumu pieņemšanai atkarībā no krīzes avota, nepieciešams tiesību akta nosaukumā ietvert norādes gan uz pārdošanas, gan izmantošanas kārtību. </w:t>
      </w:r>
    </w:p>
    <w:p w14:paraId="0E00FB83" w14:textId="77777777" w:rsidR="0049741F" w:rsidRDefault="0049741F" w:rsidP="0049741F">
      <w:pPr>
        <w:ind w:firstLine="567"/>
        <w:jc w:val="both"/>
        <w:rPr>
          <w:rFonts w:ascii="Arial" w:hAnsi="Arial" w:cs="Arial"/>
          <w:lang w:val="lv-LV"/>
        </w:rPr>
      </w:pPr>
      <w:r w:rsidRPr="0029183F">
        <w:rPr>
          <w:rFonts w:ascii="Arial" w:hAnsi="Arial" w:cs="Arial"/>
          <w:lang w:val="lv-LV"/>
        </w:rPr>
        <w:t xml:space="preserve">Identiski nepieciešams precizēt Noteikumu projekta nodaļu nosaukumus, jo Noteikumu projektā paredzēts paralēli regulēt gan pārdošanas, gan izmantošanas kārtību. </w:t>
      </w:r>
    </w:p>
    <w:p w14:paraId="56BD7C1F" w14:textId="77777777" w:rsidR="0049741F" w:rsidRDefault="0049741F" w:rsidP="0049741F">
      <w:pPr>
        <w:ind w:firstLine="567"/>
        <w:jc w:val="both"/>
        <w:rPr>
          <w:rFonts w:ascii="Arial" w:hAnsi="Arial" w:cs="Arial"/>
          <w:lang w:val="lv-LV"/>
        </w:rPr>
      </w:pPr>
      <w:r w:rsidRPr="0029183F">
        <w:rPr>
          <w:rFonts w:ascii="Arial" w:hAnsi="Arial" w:cs="Arial"/>
          <w:lang w:val="lv-LV"/>
        </w:rPr>
        <w:t xml:space="preserve">[2] Noteikumu projekta 4. punkts paredz pienākumu gan komersantiem, gan arī aviācijas nozares komersantiem pēc sabiedrības ar ierobežotu atbildību "Publisko aktīvu pārvaldītājs Possessor" (turpmāk – </w:t>
      </w:r>
      <w:r w:rsidRPr="0029183F">
        <w:rPr>
          <w:rFonts w:ascii="Arial" w:hAnsi="Arial" w:cs="Arial"/>
          <w:i/>
          <w:iCs/>
          <w:lang w:val="lv-LV"/>
        </w:rPr>
        <w:t>Possessor</w:t>
      </w:r>
      <w:r w:rsidRPr="0029183F">
        <w:rPr>
          <w:rFonts w:ascii="Arial" w:hAnsi="Arial" w:cs="Arial"/>
          <w:lang w:val="lv-LV"/>
        </w:rPr>
        <w:t xml:space="preserve">) pieprasījuma sniegt informāciju </w:t>
      </w:r>
      <w:r w:rsidRPr="0029183F">
        <w:rPr>
          <w:rFonts w:ascii="Arial" w:hAnsi="Arial" w:cs="Arial"/>
          <w:i/>
          <w:iCs/>
          <w:lang w:val="lv-LV"/>
        </w:rPr>
        <w:t>Possessor</w:t>
      </w:r>
      <w:r w:rsidRPr="0029183F">
        <w:rPr>
          <w:rFonts w:ascii="Arial" w:hAnsi="Arial" w:cs="Arial"/>
          <w:lang w:val="lv-LV"/>
        </w:rPr>
        <w:t xml:space="preserve"> noteiktā apjomā un termiņā par to rīcībā esošajiem naftas produktiem, ja pieņemts Ministru kabineta lēmums par drošības rezervju pārdošanu.</w:t>
      </w:r>
      <w:r>
        <w:rPr>
          <w:rFonts w:ascii="Arial" w:hAnsi="Arial" w:cs="Arial"/>
          <w:lang w:val="lv-LV"/>
        </w:rPr>
        <w:t xml:space="preserve"> </w:t>
      </w:r>
    </w:p>
    <w:p w14:paraId="3E4F9F8E" w14:textId="77777777" w:rsidR="0049741F" w:rsidRDefault="0049741F" w:rsidP="0049741F">
      <w:pPr>
        <w:ind w:firstLine="567"/>
        <w:jc w:val="both"/>
        <w:rPr>
          <w:rFonts w:ascii="Arial" w:hAnsi="Arial" w:cs="Arial"/>
          <w:lang w:val="lv-LV"/>
        </w:rPr>
      </w:pPr>
      <w:r w:rsidRPr="0029183F">
        <w:rPr>
          <w:rFonts w:ascii="Arial" w:hAnsi="Arial" w:cs="Arial"/>
          <w:lang w:val="lv-LV"/>
        </w:rPr>
        <w:t xml:space="preserve">No minētā izriet, ka Noteikumu projektā paredzētais Ministru kabineta lēmums par drošības rezervju pārdošanu attiecināms gan komersantiem, gan arī aviācijas nozares komersantiem. Tomēr Noteikumu projekta 6. punktā noteikts, ka </w:t>
      </w:r>
      <w:r w:rsidRPr="0029183F">
        <w:rPr>
          <w:rFonts w:ascii="Arial" w:hAnsi="Arial" w:cs="Arial"/>
          <w:i/>
          <w:iCs/>
          <w:lang w:val="lv-LV"/>
        </w:rPr>
        <w:t>Possessor</w:t>
      </w:r>
      <w:r w:rsidRPr="0029183F">
        <w:rPr>
          <w:rFonts w:ascii="Arial" w:hAnsi="Arial" w:cs="Arial"/>
          <w:lang w:val="lv-LV"/>
        </w:rPr>
        <w:t xml:space="preserve"> un aviācijas nozares komersanti var savstarpēji vienoties par aviācijas nozares uzturētu drošības rezervju atpirkšanu enerģētiskās krīzes laikā vai SEA aktivizētu koordinētu ārkārtas reaģēšanas pasākumu gadījumā. </w:t>
      </w:r>
    </w:p>
    <w:p w14:paraId="0FA8F2D1" w14:textId="77777777" w:rsidR="0049741F" w:rsidRDefault="0049741F" w:rsidP="0049741F">
      <w:pPr>
        <w:ind w:firstLine="567"/>
        <w:jc w:val="both"/>
        <w:rPr>
          <w:rFonts w:ascii="Arial" w:hAnsi="Arial" w:cs="Arial"/>
          <w:lang w:val="lv-LV"/>
        </w:rPr>
      </w:pPr>
      <w:r w:rsidRPr="0029183F">
        <w:rPr>
          <w:rFonts w:ascii="Arial" w:hAnsi="Arial" w:cs="Arial"/>
          <w:lang w:val="lv-LV"/>
        </w:rPr>
        <w:t>Nepieciešamas skaidrojums, vai un kādā mērā Noteikumu projekta 2. punktā paredzētais Ministru kabineta lēmums par drošības rezervju pārdošanu attiecināms aviācijas nozares komersantiem, ievērojot, ka Noteikumu projekts aviācijas nozares komersantu drošības rezervju pārdošanai nosaka tiesības savstarpēji par to vienoties.</w:t>
      </w:r>
    </w:p>
    <w:p w14:paraId="5F77E270" w14:textId="77777777" w:rsidR="0049741F" w:rsidRDefault="0049741F" w:rsidP="0049741F">
      <w:pPr>
        <w:ind w:firstLine="567"/>
        <w:jc w:val="both"/>
        <w:rPr>
          <w:rFonts w:ascii="Arial" w:hAnsi="Arial" w:cs="Arial"/>
          <w:lang w:val="lv-LV"/>
        </w:rPr>
      </w:pPr>
      <w:r w:rsidRPr="0029183F">
        <w:rPr>
          <w:rFonts w:ascii="Arial" w:hAnsi="Arial" w:cs="Arial"/>
          <w:lang w:val="lv-LV"/>
        </w:rPr>
        <w:t xml:space="preserve">[3] Ievērojot, ka Enerģētikas likumā </w:t>
      </w:r>
      <w:r w:rsidRPr="0029183F">
        <w:rPr>
          <w:rFonts w:ascii="Arial" w:hAnsi="Arial" w:cs="Arial"/>
          <w:i/>
          <w:iCs/>
          <w:lang w:val="lv-LV"/>
        </w:rPr>
        <w:t>Possessor</w:t>
      </w:r>
      <w:r w:rsidRPr="0029183F">
        <w:rPr>
          <w:rFonts w:ascii="Arial" w:hAnsi="Arial" w:cs="Arial"/>
          <w:lang w:val="lv-LV"/>
        </w:rPr>
        <w:t xml:space="preserve"> noteikts pienākums veikt uzraudzību pār aviācijas nozares uzturētām drošības rezervēm, lūdzu sniegt pamatojum</w:t>
      </w:r>
      <w:r>
        <w:rPr>
          <w:rFonts w:ascii="Arial" w:hAnsi="Arial" w:cs="Arial"/>
          <w:lang w:val="lv-LV"/>
        </w:rPr>
        <w:t>u,</w:t>
      </w:r>
      <w:r w:rsidRPr="0029183F">
        <w:rPr>
          <w:rFonts w:ascii="Arial" w:hAnsi="Arial" w:cs="Arial"/>
          <w:lang w:val="lv-LV"/>
        </w:rPr>
        <w:t xml:space="preserve"> kādēļ Noteikumu projekta 4. punktā noteiktais pienākums sniegt informāciju </w:t>
      </w:r>
      <w:r w:rsidRPr="0029183F">
        <w:rPr>
          <w:rFonts w:ascii="Arial" w:hAnsi="Arial" w:cs="Arial"/>
          <w:i/>
          <w:iCs/>
          <w:lang w:val="lv-LV"/>
        </w:rPr>
        <w:t>Possessor</w:t>
      </w:r>
      <w:r w:rsidRPr="0029183F">
        <w:rPr>
          <w:rFonts w:ascii="Arial" w:hAnsi="Arial" w:cs="Arial"/>
          <w:lang w:val="lv-LV"/>
        </w:rPr>
        <w:t xml:space="preserve"> noteiktā apjomā un termiņā par visiem rīcībā esošajiem naftas produktiem paredzēts plašāks nekā tas noteikts Ministru kabineta 2025. gada 27. maija noteikumos Nr. 313 “Valsts naftas produktu drošības rezervju veidošanas un uzturēšanas kārtība” (41. punkts), kas reglamentē </w:t>
      </w:r>
      <w:r w:rsidRPr="0029183F">
        <w:rPr>
          <w:rFonts w:ascii="Arial" w:hAnsi="Arial" w:cs="Arial"/>
          <w:i/>
          <w:iCs/>
          <w:lang w:val="lv-LV"/>
        </w:rPr>
        <w:t>Possessor</w:t>
      </w:r>
      <w:r w:rsidRPr="0029183F">
        <w:rPr>
          <w:rFonts w:ascii="Arial" w:hAnsi="Arial" w:cs="Arial"/>
          <w:lang w:val="lv-LV"/>
        </w:rPr>
        <w:t xml:space="preserve"> tiesības pieprasīt informāciju aviācijas nozares komersantiem tikai par rezervju apjomu, kvalitāti un izcelsmi, kā arī sankciju ievērošanu. </w:t>
      </w:r>
    </w:p>
    <w:p w14:paraId="1536CA77" w14:textId="77777777" w:rsidR="0049741F" w:rsidRDefault="0049741F" w:rsidP="0049741F">
      <w:pPr>
        <w:ind w:firstLine="567"/>
        <w:jc w:val="both"/>
        <w:rPr>
          <w:rFonts w:ascii="Arial" w:hAnsi="Arial" w:cs="Arial"/>
          <w:lang w:val="lv-LV"/>
        </w:rPr>
      </w:pPr>
      <w:r w:rsidRPr="0029183F">
        <w:rPr>
          <w:rFonts w:ascii="Arial" w:hAnsi="Arial" w:cs="Arial"/>
          <w:lang w:val="lv-LV"/>
        </w:rPr>
        <w:t xml:space="preserve">Nepieciešams skaidrot anotācijā vai Noteikumu projektā, vai šis plašais pienākums nav uzskatāms par aviācijas nozares komersantu tiesību ierobežojumu izmantot sev piederošos naftas produktus, tostarp drošības rezerves. </w:t>
      </w:r>
    </w:p>
    <w:p w14:paraId="720200A8" w14:textId="77777777" w:rsidR="0049741F" w:rsidRDefault="0049741F" w:rsidP="0049741F">
      <w:pPr>
        <w:ind w:firstLine="567"/>
        <w:jc w:val="both"/>
        <w:rPr>
          <w:rFonts w:ascii="Arial" w:hAnsi="Arial" w:cs="Arial"/>
          <w:lang w:val="lv-LV"/>
        </w:rPr>
      </w:pPr>
      <w:r w:rsidRPr="0029183F">
        <w:rPr>
          <w:rFonts w:ascii="Arial" w:hAnsi="Arial" w:cs="Arial"/>
          <w:lang w:val="lv-LV"/>
        </w:rPr>
        <w:t xml:space="preserve">[4] Noteikumu projekta 7. punkts paredz, ka izsludinātas enerģētiskās krīzes laikā aviācijas nozares komersanti drošības rezerves var izmantot tikai pēc </w:t>
      </w:r>
      <w:r w:rsidRPr="0029183F">
        <w:rPr>
          <w:rFonts w:ascii="Arial" w:hAnsi="Arial" w:cs="Arial"/>
          <w:i/>
          <w:iCs/>
          <w:lang w:val="lv-LV"/>
        </w:rPr>
        <w:t>Possessor</w:t>
      </w:r>
      <w:r w:rsidRPr="0029183F">
        <w:rPr>
          <w:rFonts w:ascii="Arial" w:hAnsi="Arial" w:cs="Arial"/>
          <w:lang w:val="lv-LV"/>
        </w:rPr>
        <w:t xml:space="preserve"> rakstveidā noformētas atļaujas saņemšanas. Nav skaidrots, kāpēc izsludinātas enerģētiskās krīzes gadījumā aviācijas nozares drošības rezerves primāri tiek izmantotas, nevis pārdotas, kā paredz Enerģētikas likuma 73. pantā minētais deleģējums, un kādēļ </w:t>
      </w:r>
      <w:r w:rsidRPr="0029183F">
        <w:rPr>
          <w:rFonts w:ascii="Arial" w:hAnsi="Arial" w:cs="Arial"/>
          <w:i/>
          <w:iCs/>
          <w:lang w:val="lv-LV"/>
        </w:rPr>
        <w:t>Possessor</w:t>
      </w:r>
      <w:r w:rsidRPr="0029183F">
        <w:rPr>
          <w:rFonts w:ascii="Arial" w:hAnsi="Arial" w:cs="Arial"/>
          <w:lang w:val="lv-LV"/>
        </w:rPr>
        <w:t xml:space="preserve">, kurš veic uzraudzību pār šīm rezervēm, ir tiesīgs dot rakstveida atļauju to izmantošanai, atšķirībā no Noteikumu projekta 19. punktā noteiktā, ka SEA aktivizētu pasākumu gadījumā par drošības rezervju izmantošanu, izmantošanas nosacījumiem un kārtību lemj Ministru kabinets. </w:t>
      </w:r>
    </w:p>
    <w:p w14:paraId="51E02D88" w14:textId="77777777" w:rsidR="0049741F" w:rsidRPr="002C3028" w:rsidRDefault="0049741F" w:rsidP="0049741F">
      <w:pPr>
        <w:ind w:firstLine="567"/>
        <w:jc w:val="both"/>
        <w:rPr>
          <w:rFonts w:ascii="Arial" w:hAnsi="Arial" w:cs="Arial"/>
          <w:lang w:val="lv-LV"/>
        </w:rPr>
      </w:pPr>
      <w:r w:rsidRPr="002C3028">
        <w:rPr>
          <w:rFonts w:ascii="Arial" w:hAnsi="Arial" w:cs="Arial"/>
          <w:lang w:val="lv-LV"/>
        </w:rPr>
        <w:t xml:space="preserve">Nepieciešams juridisks pamatojums šādai interpretācijai, ņemot vērā </w:t>
      </w:r>
      <w:r w:rsidRPr="002C3028">
        <w:rPr>
          <w:rFonts w:ascii="Arial" w:hAnsi="Arial" w:cs="Arial"/>
          <w:i/>
          <w:iCs/>
          <w:lang w:val="lv-LV"/>
        </w:rPr>
        <w:t>Possessor</w:t>
      </w:r>
      <w:r w:rsidRPr="002C3028">
        <w:rPr>
          <w:rFonts w:ascii="Arial" w:hAnsi="Arial" w:cs="Arial"/>
          <w:lang w:val="lv-LV"/>
        </w:rPr>
        <w:t xml:space="preserve"> noteikto deleģējumu. </w:t>
      </w:r>
    </w:p>
    <w:p w14:paraId="203FA807" w14:textId="77777777" w:rsidR="0049741F" w:rsidRPr="002C3028" w:rsidRDefault="0049741F" w:rsidP="0049741F">
      <w:pPr>
        <w:ind w:firstLine="567"/>
        <w:jc w:val="both"/>
        <w:rPr>
          <w:rFonts w:ascii="Arial" w:hAnsi="Arial" w:cs="Arial"/>
          <w:lang w:val="lv-LV"/>
        </w:rPr>
      </w:pPr>
      <w:r w:rsidRPr="002C3028">
        <w:rPr>
          <w:rFonts w:ascii="Arial" w:hAnsi="Arial" w:cs="Arial"/>
          <w:lang w:val="lv-LV"/>
        </w:rPr>
        <w:t xml:space="preserve">[5] Lai nodrošinātu tiesisko skaidrību un izvairītos no strīdiem par cenas aprēķinu, nepieciešams precizēt Noteikumu projekta 9.2. punktā lietoto formulējumu "oficiālais Amerikas Savienoto Valstu dolāra kurss " bez atsauces, kas šo kursu nosaka. Latvijā oficiālo ASV dolāra kursu nosaka Latvijas Banka, publicējot Eiropas Centrālās bankas noteiktos valūtu kursus, kuros ir arī USD pret EUR. Priekšlikums formulēt “[..] pēc Latvijas Bankas publicētā eiro kursa pret ASV dolāru.” </w:t>
      </w:r>
    </w:p>
    <w:p w14:paraId="451DE46B" w14:textId="77777777" w:rsidR="0049741F" w:rsidRPr="002C3028" w:rsidRDefault="0049741F" w:rsidP="0049741F">
      <w:pPr>
        <w:ind w:firstLine="567"/>
        <w:jc w:val="both"/>
        <w:rPr>
          <w:rFonts w:ascii="Arial" w:hAnsi="Arial" w:cs="Arial"/>
          <w:lang w:val="lv-LV"/>
        </w:rPr>
      </w:pPr>
      <w:r w:rsidRPr="002C3028">
        <w:rPr>
          <w:rFonts w:ascii="Arial" w:hAnsi="Arial" w:cs="Arial"/>
          <w:lang w:val="lv-LV"/>
        </w:rPr>
        <w:t>[6] Noteikumu projektā paredzēto tiesību normu skaidrākas interpretācijas nolūkā ieteicams Noteikuma projekta struktūru veidot</w:t>
      </w:r>
      <w:r>
        <w:rPr>
          <w:rFonts w:ascii="Arial" w:hAnsi="Arial" w:cs="Arial"/>
          <w:lang w:val="lv-LV"/>
        </w:rPr>
        <w:t>,</w:t>
      </w:r>
      <w:r w:rsidRPr="002C3028">
        <w:rPr>
          <w:rFonts w:ascii="Arial" w:hAnsi="Arial" w:cs="Arial"/>
          <w:lang w:val="lv-LV"/>
        </w:rPr>
        <w:t xml:space="preserve"> atdalot Enerģētikas likuma 73. pantā deleģēto kārtības noteikšanu drošības rezervju pārdošanai enerģētiskās krīzes laikā no </w:t>
      </w:r>
      <w:r w:rsidRPr="002C3028">
        <w:rPr>
          <w:rFonts w:ascii="Arial" w:hAnsi="Arial" w:cs="Arial"/>
          <w:lang w:val="lv-LV"/>
        </w:rPr>
        <w:lastRenderedPageBreak/>
        <w:t>75.</w:t>
      </w:r>
      <w:r w:rsidRPr="002C3028">
        <w:rPr>
          <w:rFonts w:ascii="Arial" w:hAnsi="Arial" w:cs="Arial"/>
          <w:vertAlign w:val="superscript"/>
          <w:lang w:val="lv-LV"/>
        </w:rPr>
        <w:t>1</w:t>
      </w:r>
      <w:r w:rsidRPr="002C3028">
        <w:rPr>
          <w:rFonts w:ascii="Arial" w:hAnsi="Arial" w:cs="Arial"/>
          <w:lang w:val="lv-LV"/>
        </w:rPr>
        <w:t xml:space="preserve"> pantā deleģētās kārtības noteikšanas drošības rezervju izmantošanai SEA aktivizētu koordinētu ārkārtas reaģēšanas pasākumu gadījumā, kā arī</w:t>
      </w:r>
      <w:r>
        <w:rPr>
          <w:rFonts w:ascii="Arial" w:hAnsi="Arial" w:cs="Arial"/>
          <w:lang w:val="lv-LV"/>
        </w:rPr>
        <w:t>,</w:t>
      </w:r>
      <w:r w:rsidRPr="002C3028">
        <w:rPr>
          <w:rFonts w:ascii="Arial" w:hAnsi="Arial" w:cs="Arial"/>
          <w:lang w:val="lv-LV"/>
        </w:rPr>
        <w:t xml:space="preserve"> ievērojot, ka aviācijas nozares uzturētām drošības rezervēm noteikts atšķirīgs regulējums, strukturēt kārtību</w:t>
      </w:r>
      <w:r>
        <w:rPr>
          <w:rFonts w:ascii="Arial" w:hAnsi="Arial" w:cs="Arial"/>
          <w:lang w:val="lv-LV"/>
        </w:rPr>
        <w:t>,</w:t>
      </w:r>
      <w:r w:rsidRPr="002C3028">
        <w:rPr>
          <w:rFonts w:ascii="Arial" w:hAnsi="Arial" w:cs="Arial"/>
          <w:lang w:val="lv-LV"/>
        </w:rPr>
        <w:t xml:space="preserve"> nodalot atsevišķi noteikumus, kas attiecināmi uz aviācijas nozares uzturētām drošības rezervēm.</w:t>
      </w:r>
    </w:p>
    <w:p w14:paraId="26D0A87A" w14:textId="77777777" w:rsidR="0049741F" w:rsidRPr="002C3028" w:rsidRDefault="0049741F" w:rsidP="0049741F">
      <w:pPr>
        <w:ind w:firstLine="567"/>
        <w:jc w:val="both"/>
        <w:rPr>
          <w:rFonts w:ascii="Arial" w:hAnsi="Arial" w:cs="Arial"/>
          <w:lang w:val="lv-LV"/>
        </w:rPr>
      </w:pPr>
    </w:p>
    <w:p w14:paraId="2DDC0E5D" w14:textId="77777777" w:rsidR="0049741F" w:rsidRDefault="0049741F" w:rsidP="0049741F">
      <w:pPr>
        <w:jc w:val="both"/>
        <w:rPr>
          <w:rFonts w:ascii="Arial" w:hAnsi="Arial" w:cs="Arial"/>
          <w:sz w:val="22"/>
          <w:szCs w:val="22"/>
          <w:lang w:val="lv-LV"/>
        </w:rPr>
      </w:pPr>
    </w:p>
    <w:p w14:paraId="6E1FC88B" w14:textId="77777777" w:rsidR="0049741F" w:rsidRPr="00D10688" w:rsidRDefault="0049741F" w:rsidP="0049741F">
      <w:pPr>
        <w:jc w:val="both"/>
        <w:rPr>
          <w:rFonts w:ascii="Arial" w:hAnsi="Arial" w:cs="Arial"/>
          <w:sz w:val="22"/>
          <w:szCs w:val="22"/>
          <w:lang w:val="lv-LV"/>
        </w:rPr>
      </w:pPr>
      <w:r>
        <w:rPr>
          <w:rFonts w:ascii="Arial" w:hAnsi="Arial" w:cs="Arial"/>
          <w:sz w:val="22"/>
          <w:szCs w:val="22"/>
          <w:lang w:val="lv-LV"/>
        </w:rPr>
        <w:t>Ar cieņu</w:t>
      </w:r>
      <w:r w:rsidRPr="00D10688">
        <w:rPr>
          <w:rFonts w:ascii="Arial" w:hAnsi="Arial" w:cs="Arial"/>
          <w:sz w:val="22"/>
          <w:szCs w:val="22"/>
          <w:lang w:val="lv-LV"/>
        </w:rPr>
        <w:t xml:space="preserve"> </w:t>
      </w:r>
    </w:p>
    <w:p w14:paraId="05C5C4E4" w14:textId="58DC51D8" w:rsidR="00401F4F" w:rsidRPr="00DC2E84" w:rsidRDefault="00401F4F" w:rsidP="00401F4F">
      <w:pPr>
        <w:rPr>
          <w:rFonts w:ascii="Arial" w:eastAsia="Calibri" w:hAnsi="Arial" w:cs="Arial"/>
          <w:color w:val="000000"/>
          <w:sz w:val="22"/>
          <w:szCs w:val="22"/>
          <w:lang w:val="lv-LV" w:eastAsia="lv-LV"/>
        </w:rPr>
      </w:pPr>
      <w:r w:rsidRPr="00DC2E84">
        <w:rPr>
          <w:rFonts w:ascii="Arial" w:eastAsia="Calibri" w:hAnsi="Arial" w:cs="Arial"/>
          <w:color w:val="000000"/>
          <w:sz w:val="22"/>
          <w:szCs w:val="22"/>
          <w:lang w:val="lv-LV" w:eastAsia="lv-LV"/>
        </w:rPr>
        <w:t xml:space="preserve"> </w:t>
      </w:r>
    </w:p>
    <w:p w14:paraId="0862571C" w14:textId="77777777" w:rsidR="00DC2E84" w:rsidRPr="00401F4F" w:rsidRDefault="00DC2E84" w:rsidP="00401F4F">
      <w:pPr>
        <w:jc w:val="both"/>
        <w:rPr>
          <w:rFonts w:ascii="Times New Roman" w:eastAsia="Calibri" w:hAnsi="Times New Roman" w:cs="Times New Roman"/>
          <w:color w:val="000000"/>
          <w:lang w:val="lv-LV" w:eastAsia="lv-LV"/>
        </w:rPr>
      </w:pPr>
    </w:p>
    <w:p w14:paraId="37D71772" w14:textId="77777777" w:rsidR="00401F4F" w:rsidRPr="00401F4F" w:rsidRDefault="00401F4F" w:rsidP="00401F4F">
      <w:pPr>
        <w:jc w:val="both"/>
        <w:rPr>
          <w:rFonts w:ascii="Times New Roman" w:eastAsia="Calibri" w:hAnsi="Times New Roman" w:cs="Times New Roman"/>
          <w:color w:val="000000"/>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3"/>
        <w:gridCol w:w="4665"/>
      </w:tblGrid>
      <w:tr w:rsidR="00401F4F" w:rsidRPr="00401F4F" w14:paraId="6518BD56" w14:textId="77777777" w:rsidTr="008D124A">
        <w:tc>
          <w:tcPr>
            <w:tcW w:w="4814" w:type="dxa"/>
          </w:tcPr>
          <w:p w14:paraId="51AB46BB" w14:textId="77777777" w:rsidR="00401F4F" w:rsidRPr="00401F4F" w:rsidRDefault="00401F4F" w:rsidP="00401F4F">
            <w:pPr>
              <w:jc w:val="both"/>
              <w:rPr>
                <w:rFonts w:ascii="Times New Roman" w:eastAsia="Calibri" w:hAnsi="Times New Roman" w:cs="Times New Roman"/>
                <w:color w:val="000000"/>
              </w:rPr>
            </w:pPr>
            <w:r w:rsidRPr="00C67AAD">
              <w:rPr>
                <w:rFonts w:ascii="Arial" w:eastAsia="Calibri" w:hAnsi="Arial" w:cs="Arial"/>
                <w:color w:val="808080"/>
              </w:rPr>
              <w:t>Valdes priekšsēdētāja</w:t>
            </w:r>
          </w:p>
          <w:p w14:paraId="32C5575D" w14:textId="77777777" w:rsidR="00401F4F" w:rsidRPr="00401F4F" w:rsidRDefault="00401F4F" w:rsidP="00401F4F">
            <w:pPr>
              <w:jc w:val="both"/>
              <w:rPr>
                <w:rFonts w:ascii="Times New Roman" w:eastAsia="Calibri" w:hAnsi="Times New Roman" w:cs="Times New Roman"/>
                <w:color w:val="000000"/>
              </w:rPr>
            </w:pPr>
          </w:p>
        </w:tc>
        <w:tc>
          <w:tcPr>
            <w:tcW w:w="4815" w:type="dxa"/>
          </w:tcPr>
          <w:p w14:paraId="57B5660C" w14:textId="77777777" w:rsidR="00401F4F" w:rsidRPr="00401F4F" w:rsidRDefault="00401F4F" w:rsidP="00401F4F">
            <w:pPr>
              <w:jc w:val="right"/>
              <w:rPr>
                <w:rFonts w:ascii="Times New Roman" w:eastAsia="Calibri" w:hAnsi="Times New Roman" w:cs="Times New Roman"/>
                <w:color w:val="000000"/>
              </w:rPr>
            </w:pPr>
            <w:r w:rsidRPr="00C67AAD">
              <w:rPr>
                <w:rFonts w:ascii="Arial" w:eastAsia="Calibri" w:hAnsi="Arial" w:cs="Arial"/>
                <w:color w:val="808080"/>
              </w:rPr>
              <w:t>Laila Odiņa</w:t>
            </w:r>
          </w:p>
        </w:tc>
      </w:tr>
      <w:tr w:rsidR="00401F4F" w:rsidRPr="00401F4F" w14:paraId="18EA20A8" w14:textId="77777777" w:rsidTr="008D124A">
        <w:tc>
          <w:tcPr>
            <w:tcW w:w="4814" w:type="dxa"/>
          </w:tcPr>
          <w:p w14:paraId="036C07EA" w14:textId="77777777" w:rsidR="00401F4F" w:rsidRPr="00401F4F" w:rsidRDefault="00401F4F" w:rsidP="00401F4F">
            <w:pPr>
              <w:jc w:val="both"/>
              <w:rPr>
                <w:rFonts w:ascii="Times New Roman" w:eastAsia="Calibri" w:hAnsi="Times New Roman" w:cs="Times New Roman"/>
                <w:color w:val="000000"/>
              </w:rPr>
            </w:pPr>
            <w:r w:rsidRPr="00C67AAD">
              <w:rPr>
                <w:rFonts w:ascii="Arial" w:eastAsia="Calibri" w:hAnsi="Arial" w:cs="Arial"/>
                <w:color w:val="808080"/>
              </w:rPr>
              <w:t>Valdes loceklis</w:t>
            </w:r>
          </w:p>
          <w:p w14:paraId="62784E82" w14:textId="77777777" w:rsidR="00401F4F" w:rsidRPr="00401F4F" w:rsidRDefault="00401F4F" w:rsidP="00401F4F">
            <w:pPr>
              <w:jc w:val="both"/>
              <w:rPr>
                <w:rFonts w:ascii="Times New Roman" w:eastAsia="Calibri" w:hAnsi="Times New Roman" w:cs="Times New Roman"/>
                <w:color w:val="000000"/>
              </w:rPr>
            </w:pPr>
          </w:p>
        </w:tc>
        <w:tc>
          <w:tcPr>
            <w:tcW w:w="4815" w:type="dxa"/>
          </w:tcPr>
          <w:p w14:paraId="3C68BB67" w14:textId="77777777" w:rsidR="00401F4F" w:rsidRPr="00401F4F" w:rsidRDefault="00401F4F" w:rsidP="00401F4F">
            <w:pPr>
              <w:jc w:val="right"/>
              <w:rPr>
                <w:rFonts w:ascii="Times New Roman" w:eastAsia="Calibri" w:hAnsi="Times New Roman" w:cs="Times New Roman"/>
                <w:color w:val="000000"/>
              </w:rPr>
            </w:pPr>
            <w:r w:rsidRPr="00C67AAD">
              <w:rPr>
                <w:rFonts w:ascii="Arial" w:eastAsia="Calibri" w:hAnsi="Arial" w:cs="Arial"/>
                <w:color w:val="808080"/>
              </w:rPr>
              <w:t>Artūrs Saveļjevs</w:t>
            </w:r>
          </w:p>
        </w:tc>
      </w:tr>
    </w:tbl>
    <w:p w14:paraId="01248A6D" w14:textId="77777777" w:rsidR="00401F4F" w:rsidRPr="00401F4F" w:rsidRDefault="00401F4F" w:rsidP="00401F4F">
      <w:pPr>
        <w:spacing w:line="276" w:lineRule="auto"/>
        <w:jc w:val="both"/>
        <w:rPr>
          <w:rFonts w:ascii="Times New Roman" w:eastAsia="Times New Roman" w:hAnsi="Times New Roman" w:cs="Times New Roman"/>
          <w:iCs/>
          <w:lang w:val="lv-LV"/>
        </w:rPr>
      </w:pPr>
    </w:p>
    <w:p w14:paraId="71DF2693" w14:textId="77777777" w:rsidR="00401F4F" w:rsidRPr="00401F4F" w:rsidRDefault="00401F4F" w:rsidP="00401F4F">
      <w:pPr>
        <w:spacing w:line="276" w:lineRule="auto"/>
        <w:jc w:val="both"/>
        <w:rPr>
          <w:rFonts w:ascii="Times New Roman" w:eastAsia="Times New Roman" w:hAnsi="Times New Roman" w:cs="Times New Roman"/>
          <w:i/>
          <w:iCs/>
          <w:sz w:val="12"/>
          <w:szCs w:val="12"/>
          <w:lang w:val="lv-LV"/>
        </w:rPr>
      </w:pPr>
    </w:p>
    <w:p w14:paraId="18D7D156" w14:textId="77777777" w:rsidR="00401F4F" w:rsidRPr="00401F4F" w:rsidRDefault="00401F4F" w:rsidP="00401F4F">
      <w:pPr>
        <w:spacing w:line="276" w:lineRule="auto"/>
        <w:jc w:val="both"/>
        <w:rPr>
          <w:rFonts w:ascii="Times New Roman" w:eastAsia="Times New Roman" w:hAnsi="Times New Roman" w:cs="Times New Roman"/>
          <w:i/>
          <w:iCs/>
          <w:sz w:val="12"/>
          <w:szCs w:val="12"/>
          <w:lang w:val="lv-LV"/>
        </w:rPr>
      </w:pPr>
    </w:p>
    <w:p w14:paraId="2A869FE5" w14:textId="77777777" w:rsidR="00401F4F" w:rsidRPr="00401F4F" w:rsidRDefault="00401F4F" w:rsidP="00401F4F">
      <w:pPr>
        <w:textAlignment w:val="center"/>
        <w:rPr>
          <w:rFonts w:ascii="Times New Roman" w:eastAsia="Times New Roman" w:hAnsi="Times New Roman" w:cs="Times New Roman"/>
          <w:i/>
          <w:iCs/>
          <w:color w:val="000000"/>
          <w:sz w:val="20"/>
          <w:szCs w:val="20"/>
          <w:lang w:val="lv-LV" w:eastAsia="lv-LV"/>
        </w:rPr>
      </w:pPr>
      <w:r w:rsidRPr="00C67AAD">
        <w:rPr>
          <w:rFonts w:ascii="Arial" w:eastAsia="Calibri" w:hAnsi="Arial" w:cs="Arial"/>
          <w:i/>
          <w:iCs/>
          <w:color w:val="808080"/>
          <w:sz w:val="20"/>
          <w:szCs w:val="20"/>
          <w:lang w:val="lv-LV" w:eastAsia="lv-LV"/>
        </w:rPr>
        <w:t>Linda Jeromāne</w:t>
      </w:r>
      <w:r w:rsidRPr="00401F4F">
        <w:rPr>
          <w:rFonts w:ascii="Times New Roman" w:eastAsia="Times New Roman" w:hAnsi="Times New Roman" w:cs="Times New Roman"/>
          <w:i/>
          <w:iCs/>
          <w:sz w:val="20"/>
          <w:szCs w:val="20"/>
          <w:lang w:val="lv-LV"/>
        </w:rPr>
        <w:t xml:space="preserve">, </w:t>
      </w:r>
    </w:p>
    <w:p w14:paraId="09B0CAE5" w14:textId="77777777" w:rsidR="00401F4F" w:rsidRPr="00401F4F" w:rsidRDefault="00401F4F" w:rsidP="00401F4F">
      <w:pPr>
        <w:spacing w:line="276" w:lineRule="auto"/>
        <w:jc w:val="both"/>
        <w:rPr>
          <w:rFonts w:ascii="Times New Roman" w:eastAsia="Times New Roman" w:hAnsi="Times New Roman" w:cs="Times New Roman"/>
          <w:i/>
          <w:iCs/>
          <w:color w:val="000000"/>
          <w:sz w:val="20"/>
          <w:szCs w:val="20"/>
          <w:lang w:val="lv-LV" w:eastAsia="lv-LV"/>
        </w:rPr>
      </w:pPr>
      <w:r w:rsidRPr="00C67AAD">
        <w:rPr>
          <w:rFonts w:ascii="Arial" w:eastAsia="Calibri" w:hAnsi="Arial" w:cs="Arial"/>
          <w:i/>
          <w:iCs/>
          <w:color w:val="808080"/>
          <w:sz w:val="20"/>
          <w:szCs w:val="20"/>
          <w:lang w:val="lv-LV" w:eastAsia="lv-LV"/>
        </w:rPr>
        <w:t>Linda.Jeromane@riga-airport.com</w:t>
      </w:r>
    </w:p>
    <w:p w14:paraId="5E64573B" w14:textId="77777777" w:rsidR="00401F4F" w:rsidRDefault="00401F4F" w:rsidP="00401F4F">
      <w:pPr>
        <w:spacing w:line="276" w:lineRule="auto"/>
        <w:jc w:val="both"/>
        <w:rPr>
          <w:rFonts w:ascii="Times New Roman" w:eastAsia="Times New Roman" w:hAnsi="Times New Roman" w:cs="Times New Roman"/>
          <w:color w:val="000000"/>
          <w:sz w:val="16"/>
          <w:szCs w:val="16"/>
          <w:lang w:val="lv-LV" w:eastAsia="lv-LV"/>
        </w:rPr>
      </w:pPr>
    </w:p>
    <w:p w14:paraId="0965013E"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64DA76EA"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1DA236BB"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55A93C88"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5ADA9BC8"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388D2187"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14CA2EA0"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50C4E908"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28666A25"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133F2B8F"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5EA0C629" w14:textId="77777777" w:rsidR="00DC2E84"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304F755E" w14:textId="77777777" w:rsidR="00DC2E84" w:rsidRPr="00401F4F" w:rsidRDefault="00DC2E84" w:rsidP="00401F4F">
      <w:pPr>
        <w:spacing w:line="276" w:lineRule="auto"/>
        <w:jc w:val="both"/>
        <w:rPr>
          <w:rFonts w:ascii="Times New Roman" w:eastAsia="Times New Roman" w:hAnsi="Times New Roman" w:cs="Times New Roman"/>
          <w:color w:val="000000"/>
          <w:sz w:val="16"/>
          <w:szCs w:val="16"/>
          <w:lang w:val="lv-LV" w:eastAsia="lv-LV"/>
        </w:rPr>
      </w:pPr>
    </w:p>
    <w:p w14:paraId="4A735A6F" w14:textId="77777777" w:rsidR="00401F4F" w:rsidRPr="00401F4F" w:rsidRDefault="00401F4F" w:rsidP="00401F4F">
      <w:pPr>
        <w:spacing w:line="276" w:lineRule="auto"/>
        <w:rPr>
          <w:rFonts w:ascii="Times New Roman" w:eastAsia="Times New Roman" w:hAnsi="Times New Roman" w:cs="Times New Roman"/>
          <w:iCs/>
          <w:sz w:val="22"/>
          <w:szCs w:val="22"/>
          <w:lang w:val="lv-LV"/>
        </w:rPr>
      </w:pPr>
      <w:r w:rsidRPr="00E43A8B">
        <w:rPr>
          <w:rFonts w:ascii="Arial" w:eastAsia="Times New Roman" w:hAnsi="Arial" w:cs="Arial"/>
          <w:sz w:val="20"/>
          <w:szCs w:val="20"/>
          <w:lang w:val="lv-LV"/>
        </w:rPr>
        <w:t>DOKUMENTS IR PARAKSTĪTS AR DROŠU ELEKTRONISKO PARAKSTU UN SATUR LAIKA ZĪMOGU</w:t>
      </w:r>
    </w:p>
    <w:p w14:paraId="14B4AAD2" w14:textId="77777777" w:rsidR="00401F4F" w:rsidRDefault="00401F4F" w:rsidP="00081B6F"/>
    <w:sectPr w:rsidR="00401F4F" w:rsidSect="00932930">
      <w:headerReference w:type="default" r:id="rId12"/>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4EEC" w14:textId="77777777" w:rsidR="002B2B58" w:rsidRDefault="002B2B58" w:rsidP="00401F4F">
      <w:r>
        <w:separator/>
      </w:r>
    </w:p>
  </w:endnote>
  <w:endnote w:type="continuationSeparator" w:id="0">
    <w:p w14:paraId="1997DF53" w14:textId="77777777" w:rsidR="002B2B58" w:rsidRDefault="002B2B58"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B373E" w14:textId="77777777" w:rsidR="002B2B58" w:rsidRDefault="002B2B58" w:rsidP="00401F4F">
      <w:r>
        <w:separator/>
      </w:r>
    </w:p>
  </w:footnote>
  <w:footnote w:type="continuationSeparator" w:id="0">
    <w:p w14:paraId="3E568E3B" w14:textId="77777777" w:rsidR="002B2B58" w:rsidRDefault="002B2B58"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8139C"/>
    <w:multiLevelType w:val="hybridMultilevel"/>
    <w:tmpl w:val="6700CE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8743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2B2B58"/>
    <w:rsid w:val="003E2285"/>
    <w:rsid w:val="00401F4F"/>
    <w:rsid w:val="00452A36"/>
    <w:rsid w:val="0049741F"/>
    <w:rsid w:val="004A772D"/>
    <w:rsid w:val="00561A5D"/>
    <w:rsid w:val="005C091C"/>
    <w:rsid w:val="005E62C1"/>
    <w:rsid w:val="006135ED"/>
    <w:rsid w:val="00664EC0"/>
    <w:rsid w:val="007300EE"/>
    <w:rsid w:val="00736360"/>
    <w:rsid w:val="00787C80"/>
    <w:rsid w:val="007C761B"/>
    <w:rsid w:val="00845889"/>
    <w:rsid w:val="00932930"/>
    <w:rsid w:val="009434CF"/>
    <w:rsid w:val="009E1FE6"/>
    <w:rsid w:val="00AA39EE"/>
    <w:rsid w:val="00BA4DED"/>
    <w:rsid w:val="00C67AAD"/>
    <w:rsid w:val="00CB3444"/>
    <w:rsid w:val="00D84309"/>
    <w:rsid w:val="00DA51DC"/>
    <w:rsid w:val="00DC2E84"/>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 w:type="paragraph" w:styleId="ListParagraph">
    <w:name w:val="List Paragraph"/>
    <w:basedOn w:val="Normal"/>
    <w:uiPriority w:val="34"/>
    <w:qFormat/>
    <w:rsid w:val="0049741F"/>
    <w:pPr>
      <w:spacing w:after="160" w:line="278" w:lineRule="auto"/>
      <w:ind w:left="720"/>
      <w:contextualSpacing/>
    </w:pPr>
    <w:rPr>
      <w:kern w:val="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17579f16-35c0-4c50-9436-0ccf30bf47a3</BBS_RelatedItemID>
  </documentManagement>
</p:properties>
</file>

<file path=customXml/item3.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491FC-7758-46BE-9DD3-CA29F5479FB8}">
  <ds:schemaRefs>
    <ds:schemaRef ds:uri="http://schemas.microsoft.com/sharepoint/v3/contenttype/forms"/>
  </ds:schemaRefs>
</ds:datastoreItem>
</file>

<file path=customXml/itemProps2.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customXml/itemProps3.xml><?xml version="1.0" encoding="utf-8"?>
<ds:datastoreItem xmlns:ds="http://schemas.openxmlformats.org/officeDocument/2006/customXml" ds:itemID="{62EA227F-9E66-43B2-9DE9-C2A708288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837</Words>
  <Characters>6107</Characters>
  <Application>Microsoft Office Word</Application>
  <DocSecurity>0</DocSecurity>
  <Lines>147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Barbara Sūniņa</cp:lastModifiedBy>
  <cp:revision>2</cp:revision>
  <dcterms:created xsi:type="dcterms:W3CDTF">2026-02-11T11:28:00Z</dcterms:created>
  <dcterms:modified xsi:type="dcterms:W3CDTF">2026-02-11T11:28:00Z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