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punkta otrajā teikumā norādīt atskaites punktu 10 darbdienu termiņa aprēķināšanai, tādējādi nodrošinot nepārprotamu attiecīgā uzdevuma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lēmuma projekta 4. punkta un ziņojuma nav skaidra Vides aizsardzības un reģionālās attīstības ministrijas un Valsts kancelejas loma, kompetenču (arī atbildības) sadalījums attiecībā uz projekta iesnieguma izvērtēšanu un apstiprināšanu, tai skaitā nav saprotams, ko konkrēti vērtē abas minētās iestādes, kādos gadījumos un par ko viedokli sniedz Valsts kancelejai (tai skaitā, vai projekta iesniegums tiks apstiprināts vienīgi gadījumā, ja to bez iebildumiem saskaņo Valsts kanceleja). Attiecīgi lūdzam izvērtēt un precizēt vai svītrot lēmuma projekta 4. punktu, kā arī atbilstoši precizēt ziņojuma 3. nodaļā "Iesaistītās institūcijas un atbildību sadalījums"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projekta nosaukumu, kas šobrīd atbilst lēmuma projekta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