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Apcietinājumā turēšanas kārtības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papildināt ar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segt izdevumus par medicīnisko pārbaudi alkohola, narkotisko vai citu apreibinošo vielu ietekmes konstatēšanai, ja tajā konstatēta alkohola, narkotisko vai citu apreibinošo vielu ietekme”;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apcietinātais ir nepilngadīga persona, kura ir bārenis vai bez vecāku gādības palicis bērns, tad Labklājības ministrijas ieskatā, medicīniskās pārbaudes izdevumus  alkohola, narkotisko vai citu apreibinošo vielu ietekmes noteikšanai būtu jāsedz izmeklēšanas cietumam. Nebūtu pieļaujama situācija, ka no ārpusģimenes aprūpē esoša bērna personīgajiem finanšu līdzekļiem tiktu segti minētie izdevumi, jo valsts ir apņēmusies īpaši palīdzēt bez vecāku gādības palikušiem bērniem. Šāda valsts apņemšanās ir nostiprināta Latvijas Republikas Satversmes 110.pantā. Turklāt atbilstoši Bērnu tiesību aizsardzības likuma 6. pantā nostiprinātajam bērnu tiesību aizsardzības principam visām darbībām attiecībā uz bērnu neatkarīgi no tā, vai tās veic valsts vai pašvaldību institūcijas, sabiedriskās organizācijas vai citas fiziskās un juridiskās personas, kā arī tiesas un citas tiesībaizsardzības iestādes, prioritāri ir jānodrošina bērna tiesības un intereses. Saskaņā ar minētā panta 2.</w:t>
            </w:r>
            <w:r w:rsidR="00000000" w:rsidRPr="00000000" w:rsidDel="00000000">
              <w:rPr>
                <w:vertAlign w:val="superscript"/>
                <w:rtl w:val="0"/>
              </w:rPr>
              <w:t xml:space="preserve">1</w:t>
            </w:r>
            <w:r w:rsidR="00000000" w:rsidRPr="00000000" w:rsidDel="00000000">
              <w:rPr>
                <w:rtl w:val="0"/>
              </w:rPr>
              <w:t xml:space="preserve"> daļas 10.un 13. punktu, nosakot bērna labākās intereses, nepieciešams tiekties uz bērna situācijas ilgtspējīgu risinājumu, atbilstoši situācijai ņemot vērā, cik lielā mērā veicamie pasākumi nodrošina tajā skaitā drošu vidi, kurā bērnam augt un attīstīties, aizsardzību no vardarbības, apdraudējuma, antisociālas uzvedības un atkarību ietekmes, kā arī  citus bērna attīstībai un labklājībai nozīmīgus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piemēram, Administratīvās atbildības likuma 76. panta otrās daļas 2.</w:t>
            </w:r>
            <w:r w:rsidR="00000000" w:rsidRPr="00000000" w:rsidDel="00000000">
              <w:rPr>
                <w:vertAlign w:val="superscript"/>
                <w:rtl w:val="0"/>
              </w:rPr>
              <w:t xml:space="preserve">1</w:t>
            </w:r>
            <w:r w:rsidR="00000000" w:rsidRPr="00000000" w:rsidDel="00000000">
              <w:rPr>
                <w:rtl w:val="0"/>
              </w:rPr>
              <w:t xml:space="preserve"> punkts nosaka, ka procesuālos izdevumus sedz no valsts vai pašvaldības līdzekļiem, ja persona, no kuras tie ir piedzenami, ir nepilngadīga. Savukārt šī likuma 75. panta pirmās daļas 6. punkts pie procesuālajiem izdevumiem pieskaita summas, kas saistītas ar apreibinošo vielu ietekmes konstatēšanai veiktajām pārbaudēm.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Izmeklēšanas cietums sedz nepilngadīgā apcietinātā (bāreņa vai bez vecāku gādības palikuša bērna) medicīniskās pārbaudes izdevumus  alkohola, narkotisko vai citu apreibinošo vielu ietekmes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Lauris Neikens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11.02.2026.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11.02.2026.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Atzinumi_24-TA-1960.docx</dc:title>
</cp:coreProperties>
</file>

<file path=docProps/custom.xml><?xml version="1.0" encoding="utf-8"?>
<Properties xmlns="http://schemas.openxmlformats.org/officeDocument/2006/custom-properties" xmlns:vt="http://schemas.openxmlformats.org/officeDocument/2006/docPropsVTypes"/>
</file>