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Sodu izpildes kodeksā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pants. Starpinstitūciju sadarbības sanāksmes kriminālsodu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Kriminālsodu izpildes laikā kriminālsodu izpildes iestādes organizē starpinstitūciju sadarbības sanāksmes šajā kodeksā noteiktajos gadījumos un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lai kriminālsodu izpildes iestāžu un citu iesaistīto institūciju kompetences ietvaros koordinētu pasākumus un aktivitātes, ar mērķi mazināt risku, ka notiesātais izdara jaunu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pants. Starpinstitūciju sadarbības sanāksmju organizēšanā iesaistītās iestādes un to organizēšanas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Valsts probācijas dienests, Ieslodzījuma vietu pārvalde un Valsts policija attiecībā uz personām, kurām iestāde nodrošina kriminālsoda izpildi,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vardarbīgu noziegumu;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noziedzīgu nodarījumu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notiesātais ir nepilngadīgs probācijas klients.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šī panta pirmajā daļā neminētos gadījumos par nepilngadīgu notiesāto, notiesāto ar garīgās veselības traucējumiem vai notiesāto, kuram ir konstatēts ļoti augsts jauna noziedzīga nodarījuma izdarīšanas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sanāksmi var organizēt jebkurā kriminālsodu izpildes procesa brīdī. Starpinstitūciju sadarbības sanāksmi obligāti organizē pirms kriminālsoda izpildes beigām par šī panta pirmajā daļā minētajiem notiesātajiem. Starpinstitūciju sadarbības sanāksmes var organizēt arī atkārtoti par vienu un to pašu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sanāksmēs pēc Valsts probācijas dienesta, Ieslodzījuma vietu pārvaldes vai Valsts policijas uzaicinājuma piedalās Valsts drošības dienesta, pašvaldības sociālā dienesta, bāriņtiesas, pašvaldības policijas, Valsts bērnu tiesību aizsardzības inspekcijas pārstāvji, kā arī psihologs, ārstniecības persona, fiziska persona vai juridiskas personas pārstāvis, kas var sniegt nepieciešamo informāciju izskatāmajā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drošības dienesta pārstāvi, ja sanāksmi organizē par šī panta pirmās daļas  3.punktā minēto personu vai personu, kas notiesāta par ar terorismu saistīta nozieguma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bērnu tiesību aizsardzības inspekcijas pārstāvi, ja sanāksmi organizē: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notiesāto, kurš būdams nepilngadīgs, ir izdarījis noziedzīgu nodarījumu pret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notiesāto, kurš izcieš sodu par noziedzīgu nodarījumu pret nepilngadīgu personu un nesadarbojas ar kriminālsodu izpildes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starpinstitūciju sadarbības sanāksmes ietvaros tiek konstatēts nepilngadīgā labāko interešu aizskārums vai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inspekcijas dalība nepieciešama bāriņtiesu darba uzraudzības un metodiskās vadības ietvaros atbilstoši normatīvajiem aktiem, kas noteic bāriņtiesas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sasaukšanas, organizēšanas un norises kārtību, lēmumu pieņemšanas kārtību, protokola sagatavošanas kārtību un protokolu glabāšanas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personu ar radikalizācijas pazīmēm šā kodeksa izpratnē uzskata personu, kura, pamatojoties uz ideoloģiska, politiska, reliģiska, sociāla, ekonomiska un personīga rakstura iemesliem, pakāpeniski pieņem vardarbīgu ekstrēmismu.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Vardarbīgs ekstrēmisms 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3</w:t>
            </w:r>
            <w:r w:rsidR="00000000" w:rsidRPr="00000000" w:rsidDel="00000000">
              <w:rPr>
                <w:b w:val="1"/>
                <w:rtl w:val="0"/>
              </w:rPr>
              <w:t xml:space="preserve">pants. Personas datu apstrāde starpinstitūciju sadarbības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laikā tās dalībnieki, lai sasniegtu šā kodeksa 12.</w:t>
            </w:r>
            <w:r w:rsidR="00000000" w:rsidRPr="00000000" w:rsidDel="00000000">
              <w:rPr>
                <w:vertAlign w:val="superscript"/>
                <w:rtl w:val="0"/>
              </w:rPr>
              <w:t xml:space="preserve">1</w:t>
            </w:r>
            <w:r w:rsidR="00000000" w:rsidRPr="00000000" w:rsidDel="00000000">
              <w:rPr>
                <w:rtl w:val="0"/>
              </w:rPr>
              <w:t xml:space="preserve">panta otrajā daļā paredzēto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informāciju par īstenotajiem pasākumiem cietušā interešu aizstāvības nodrošināšanai un turpmāk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vienojas par katras iesaistītās institūcijas kompetences jomā veicamajiem pasākumiem un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protokolu nosūta tikai šā kodeksa 12.</w:t>
            </w:r>
            <w:r w:rsidR="00000000" w:rsidRPr="00000000" w:rsidDel="00000000">
              <w:rPr>
                <w:vertAlign w:val="superscript"/>
                <w:rtl w:val="0"/>
              </w:rPr>
              <w:t xml:space="preserve">2</w:t>
            </w:r>
            <w:r w:rsidR="00000000" w:rsidRPr="00000000" w:rsidDel="00000000">
              <w:rPr>
                <w:rtl w:val="0"/>
              </w:rPr>
              <w:t xml:space="preserve">panta pirmajā un ceturtajā daļā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Starpinstitūciju sadarbības sanāksmes organizēšanas un norises laikā sanāksmes dalībnieki apstrādā šī panta pirmajā daļā noteiktos notiesātā, cietušā, notiesātā ģimenes vai mājsaimniecības locekļu, iespējami apdraudēto personu, tajā skaitā – nepilngadīgo bērnu, personas datus, ar nolūku nodrošināt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apstrādātajai informācijai, kā arī protokolā iekļautajai informācijai ir ierobežotas pieejamības statuss. Katra institūcija apstrādā starpinstitūciju sadarbības sanāksmes laikā saņemtos personas datus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šā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apstrādāto informāciju izsniedz tikai institūciju pārstāvjiem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Krimināllikumā lietoto terminoloģiju (sk., piemēram, Krimināllikuma 49. panta otro daļu), aizstāt likumprojekta 2. pantā ietvertajā Latvijas Sodu izpildes kodeksa 12.</w:t>
            </w:r>
            <w:r w:rsidR="00000000" w:rsidRPr="00000000" w:rsidDel="00000000">
              <w:rPr>
                <w:vertAlign w:val="superscript"/>
                <w:rtl w:val="0"/>
              </w:rPr>
              <w:t xml:space="preserve">2</w:t>
            </w:r>
            <w:r w:rsidR="00000000" w:rsidRPr="00000000" w:rsidDel="00000000">
              <w:rPr>
                <w:rtl w:val="0"/>
              </w:rPr>
              <w:t xml:space="preserve"> panta pirmās daļas 1. punktā vārdus “vardarbīgu noziegumu” ar vārdiem “noziegumu, kas saistīts ar vardarbību vai vardarbības piedraudējumu”.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49.</w:t>
            </w:r>
            <w:r w:rsidR="00000000" w:rsidRPr="00000000" w:rsidDel="00000000">
              <w:rPr>
                <w:b w:val="1"/>
                <w:vertAlign w:val="superscript"/>
                <w:rtl w:val="0"/>
              </w:rPr>
              <w:t xml:space="preserve">9</w:t>
            </w:r>
            <w:r w:rsidR="00000000" w:rsidRPr="00000000" w:rsidDel="00000000">
              <w:rPr>
                <w:b w:val="1"/>
                <w:rtl w:val="0"/>
              </w:rPr>
              <w:t xml:space="preserve">pants. No procesa virzītāja saņemtu notiesātajam adresētu dokumentu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brīvības atņemšanas iestādē no procesa virzītāja tiek elektroniski saņemts dokuments izsniegšanai notiesātajam, brīvības atņemšanas iestādes priekšnieka norīkots darbinieks ne vēlāk kā nākamajā darbdienā izdrukā minēto dokumentu, nereģistrējot un nepakļaujot pārbaudei un, nodrošinot konfidencialitāti, ievieto to aploksnē, kuru aizlīmē. Uz aploksnes norāda procesa virzītāju, no kura saņemts dokuments, notiesātā, kuram tas jāizsniedz, vārdu un uzvārdu, dzimšanas gadu, un nodod aploksni brīvības atņemšanas iestādes amatpersonai izsniegšanai notiesātajam.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amatpersona, kura izsniedza dokumentu notiesātajam, aizpilda veidlapu, norādot dokumenta nosaukumu vai numuru, izsniegšanas datumu un laiku, vai informāciju, ka notiesātais atteicās pieņemt dokumentu, un ne vēlāk kā divu darbdienu laikā pēc veidlapas aizpildīšanas to nosūta procesa virzītājam."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19. pantā ietvertā Latvijas Sodu izpildes kodeksa 49.</w:t>
            </w:r>
            <w:r w:rsidR="00000000" w:rsidRPr="00000000" w:rsidDel="00000000">
              <w:rPr>
                <w:vertAlign w:val="superscript"/>
                <w:rtl w:val="0"/>
              </w:rPr>
              <w:t xml:space="preserve">9</w:t>
            </w:r>
            <w:r w:rsidR="00000000" w:rsidRPr="00000000" w:rsidDel="00000000">
              <w:rPr>
                <w:rtl w:val="0"/>
              </w:rPr>
              <w:t xml:space="preserve">panta pirmās daļas pirmajam teikumam, saņemto dokumentu, nereģistrējot un nepakļaujot pārbaudei, kā arī nodrošinot konfidencialitāti, ievieto aploksnē, kuru aizlīmē. Savukārt uz aploksnes norāda tikai procesa virzītāju, no kura saņemts dokuments, un notiesātā, kuram tas jāizsniedz, vārdu un uzvārdu, dzimšanas gadu. Līdz ar to secināms, ka šā panta otrajā daļā paredzētā brīvības atņemšanas iestādes amatpersona nevarēs aizpildīt veidlapu likumprojektā paredzētajā apjomā, jo tai nebūs zināms aploksnē ievietotā dokumenta nosaukums,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likumprojektā ir ietvertas normas, kas satur deleģējumu Ministru kabinetam izdot noteikta satura noteikumus (sk., piemēram, likumprojekta 2. pantā ietverto Latvijas Sodu izpildes kodeksa 12.</w:t>
            </w:r>
            <w:r w:rsidR="00000000" w:rsidRPr="00000000" w:rsidDel="00000000">
              <w:rPr>
                <w:vertAlign w:val="superscript"/>
                <w:rtl w:val="0"/>
              </w:rPr>
              <w:t xml:space="preserve">2</w:t>
            </w:r>
            <w:r w:rsidR="00000000" w:rsidRPr="00000000" w:rsidDel="00000000">
              <w:rPr>
                <w:rtl w:val="0"/>
              </w:rPr>
              <w:t xml:space="preserve"> panta septīto daļu), aizpildīt likumprojekta sākotnējās ietekmes novērtējuma ziņojuma (anotācijas) 4. punktu, atbilstoši Valsts kancelejas Vadlīnijās tiesību akta projekta sākotnējās ietekmes novērtēšanai un novērtējuma ziņojuma sagatavošanai Vienotajā tiesību aktu izstrādes un saskaņošanas portālā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7.1. punktu, ievērojot likumprojekta 2. pantā ietverto regulējumu par starpinstitūciju sadarbības sanāksmēm un tajās iesaistāmajām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03.02.2023.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03.02.2023.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Atzinumi_22-TA-3178.docx</dc:title>
</cp:coreProperties>
</file>

<file path=docProps/custom.xml><?xml version="1.0" encoding="utf-8"?>
<Properties xmlns="http://schemas.openxmlformats.org/officeDocument/2006/custom-properties" xmlns:vt="http://schemas.openxmlformats.org/officeDocument/2006/docPropsVTypes"/>
</file>