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Konceptuālā ziņojuma par valsts stratēģisko komunikāciju un informatīvās telpas drošību 2023. – 2027. gadam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1. nodaļas sadaļu </w:t>
            </w:r>
            <w:r w:rsidR="00000000" w:rsidRPr="00000000" w:rsidDel="00000000">
              <w:rPr>
                <w:i w:val="1"/>
                <w:rtl w:val="0"/>
              </w:rPr>
              <w:t xml:space="preserve">Mācības par stratēģisko komunikāciju un informatīvās telpas drošību</w:t>
            </w:r>
            <w:r w:rsidR="00000000" w:rsidRPr="00000000" w:rsidDel="00000000">
              <w:rPr>
                <w:rtl w:val="0"/>
              </w:rPr>
              <w:t xml:space="preserve">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citu valstu negatīvo pieredzi, KNAB priekšvēlēšanu aģitācijas jomā stiprina iedzīvotāju zināšanas par riskiem vēlēšanās, kurus rada mākslīgā intelekta radītais saturs. Priekšvēlēšanu aģitācijas perioda sākumā KNAB publicēja paziņojumu, kurā stiprināja iedzīvotāju zināšanas par mākslīgā intelekta radītā satura iespējamajām izpausmēm, pazīmēm un ietekmi uz vēlēšanu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citu valstu negatīvo pieredzi, KNAB priekšvēlēšanu aģitācijas jomā stiprina iedzīvotāju zināšanas par riskiem vēlēšanās, kurus rada mākslīgā intelekta radītais saturs. Priekšvēlēšanu aģitācijas perioda sākumā KNAB publicēja paziņojumu, kurā stiprināja iedzīvotāju zināšanas par mākslīgā intelekta radītā satura iespējamajām izpausmēm, pazīmēm un ietekmi uz vēlēšanu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aicina aktualizēt informatīvā ziņojuma 12. lp. otro rindkopu, izsakot to šādā reakcijā: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priekšvēlēšanu aģitācijas noteikumu ievērošanu un demokrātisku vēlēšanu īstenošanu 2024. gada Eiropas Parlamenta vēlēšanās, KNAB 2023. gada nogalē uzsāka pastiprinātas informatīvās aktivitātes. 2023. gada 15. decembrī KNAB rīkoja vebināru reklāmas pakalpojumu sniedzējiem par aģitācijas materiālu izvietošanu un kārtību, kāda jāievēro, lai pakalpojumu sniedzēji būtu tiesīgi izvietot priekšvēlēšanu aģitācijas materiālus.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sākumā KNAB rīkoja divus vebinārus politiskajām partijām un deputātu kandidātiem par ierobežojumiem priekšvēlēšanu aģitācijā, kā arī vebināru valsts un pašvaldību institūciju pārstāvjiem par aizliegumu aģitācijā izmantot publiskai personai piederošus administratīvos resursus. Tāpat KNAB piedalījās Nacionālās elektronisko plašsaziņas līdzekļu padomes rīkotajās tiešsaistes mācībās par priekšvēlēšanu aģitācijas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KNAB regulāri publicē informāciju par tematiem, kas ir saistoši priekšvēlēšanu aģitācijai, tostarp to limitēto izdevumu apmēriem, kurus politiskās partijas plāno izlietot aģitācijai, aģitācijas pārkāpumu pazīmēm u.c. Pastiprinātas informatīvās aktivitātes plānots īstenot līdz Eiropas Parlamenta vēlēšanu dienai.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24-TA-808</w:t>
    </w:r>
    <w:r>
      <w:br/>
    </w:r>
    <w:r w:rsidR="00000000" w:rsidRPr="00000000" w:rsidDel="00000000">
      <w:rPr>
        <w:rtl w:val="0"/>
      </w:rPr>
      <w:t xml:space="preserve">Izdrukāts 25.04.2024. 19.26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24-TA-808</w:t>
    </w:r>
    <w:r>
      <w:br/>
    </w:r>
    <w:r w:rsidR="00000000" w:rsidRPr="00000000" w:rsidDel="00000000">
      <w:rPr>
        <w:rtl w:val="0"/>
      </w:rPr>
      <w:t xml:space="preserve">Izdrukāts 25.04.2024. 19.26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Atzinumi_24-TA-808.docx</dc:title>
</cp:coreProperties>
</file>

<file path=docProps/custom.xml><?xml version="1.0" encoding="utf-8"?>
<Properties xmlns="http://schemas.openxmlformats.org/officeDocument/2006/custom-properties" xmlns:vt="http://schemas.openxmlformats.org/officeDocument/2006/docPropsVTypes"/>
</file>