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sasniedzamos atskaites punktus un mērķrādītājus (turpmāk – atskaites punkti), uzraudzības rādītāju un kopējos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lai būtu skaidrs rādītāju dalījums, noteikumu projektā atskaites punktus un mērķa rādītājus izdalīt atsevišķi, nesaucot tos abus par atskaites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mērķis ir veicināt bezdarbnieku, darba meklētāju un bezdarba riskam pakļauto personu konkurētspēju un iekļaušanos darba tirgū, īstenojot profesionālās apmācības, pārkvalifikācijas, kvalifikācijas paaugstināšanas un neformālās izglītības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3.punktu, paplašinot norādīto investīcijas mērķi, lai tas atbilstu Eiropas Savienības Atveseļošanas un noturības mehānisma (turpmāk - AF) plānā noteiktajam. Šobrīd, piemēram, iztrūkst bezdarbnieku un darba meklētāju profilēšanas rīka pilnveide, digitālo prasmju vērtēšanas rīka pielāgošana un ieviešana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6.1.3. līdz 2025. gada 31. martam – 10 000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6.1.3.un 6.1.4.apakšpunktos norādītie rādītāji ir mērķa rādītāji, lūgums tos nenorādīt zem 6.1.apakšpunkta (pie atskaites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līdz 2026. gada 30. septembrim  – 20 450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6.1.4.apakšpunktu.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projekta izdevumu veikšanas termiņš un investīciju ieviešanas termiņš ir no 2020.gada 1.februāra l</w:t>
            </w:r>
            <w:r w:rsidR="00000000" w:rsidRPr="00000000" w:rsidDel="00000000">
              <w:rPr>
                <w:b w:val="1"/>
                <w:rtl w:val="0"/>
              </w:rPr>
              <w:t xml:space="preserve">īdz 2026.gada 31.augustam.</w:t>
            </w:r>
            <w:r w:rsidR="00000000" w:rsidRPr="00000000" w:rsidDel="00000000">
              <w:rPr>
                <w:rtl w:val="0"/>
              </w:rPr>
              <w:t xml:space="preserve"> Rādītājiem termiņi noteikti AF plāna 2.pielikumā un Padomes īstenošanas lēmumā par Latvijas atveseļošanas un noturības mehānisma plāna novērtējuma apstiprināšanu (turpmāk – CID). </w:t>
            </w:r>
            <w:r w:rsidR="00000000" w:rsidRPr="00000000" w:rsidDel="00000000">
              <w:rPr>
                <w:b w:val="1"/>
                <w:rtl w:val="0"/>
              </w:rPr>
              <w:t xml:space="preserve">Līdz 2026.gada 31.augustam</w:t>
            </w:r>
            <w:r w:rsidR="00000000" w:rsidRPr="00000000" w:rsidDel="00000000">
              <w:rPr>
                <w:rtl w:val="0"/>
              </w:rPr>
              <w:t xml:space="preserve"> nepieciešams nodrošināt noteikto rādītāju sasniegšanu, investīcijas darbību veikšanu, maksājumu veikšanu, kā arī nodrošināt visu nepieciešamo pārbaužu veikšanu, lai pārliecinātos par rādītāju sasniegšanu un izdevumu attiecināmību. Ņemot vērā iepriekš minēto, lūdzam paredzēt rādītāja sasniegšanas termiņu līdz 2026.gada 30.jūnijam.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rādītājs (130) "Bezdarbnieki , darba meklētāji, bezdarba riskam pakļautās personas ar pilnveidotām prasmēm" –20 450 </w:t>
            </w:r>
            <w:r w:rsidR="00000000" w:rsidRPr="00000000" w:rsidDel="00000000">
              <w:rPr>
                <w:b w:val="1"/>
                <w:rtl w:val="0"/>
              </w:rPr>
              <w:t xml:space="preserve">līdz 2026. gada 30.jūnijam.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noteikumu 6.1.2. apakšpunktā minētā atskaites punkta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Darbības kārtību atskaites punktam kā pamatojošā dokumentācija norādīta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"dalībnieku saraksts (anonimizēts), kam tika veikta profilēšana (izdruka no bezdarbnieku reģistrācijas un informācijas sistēmas IS BURVIS)". Lūgums papildināt apakšpunktu ar minēto dokumentāciju.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Finansējuma saņēmējs šo noteikumu 14.15. apakšpunktā minētās atbalstāmās darbības īstenošanā piesaista sadarbības partneri – Izglītības kvalitātes valsts dienestu (turpmāk – sadarbības partneris), kas veic izglītības kvalitātes monitoringu un sniedz atbalstu izglītības procesa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arī sadarbības partneriem tiks izmaksāts Atveseļošanas fonda finansējums, lūdzam papildināt noteikumu projektu, ka arī sadarbības partneris tiks izvērtēts atbilstoši Finanšu regulā noteiktajiem izslēgšanas kritērijiem. Papildus lūdzam papildināt anotāciju ar skaidrojumu, norādot sadarbības partnera lomu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rīka izstrāde un ieviešana;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14.12. apakšpunktu, lai varētu identificēt kādu rīku plānots izstrādāt.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Investīcijas ietvaros attiecināmas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15.punkta apakšpunktos netiek minētas atšķirīgas atbalstāmās darbības un izmaksas, nekā ir minētas AF plānā un 2.pielikumā. Tā piemēram, redzes korekcijas līdzekļu kompensācijas izmaksas, utt. Papildus lūdzam anotācijā norādīt, ka administratīvās izmaksas tiks segtas no AF finansējuma un tas netraucēs sasniegt AF investīcijai noteiktos sasniedzamos rādītājus noteiktajos termiņos, kā arī lūdzam sniegt skaidrojumu, ka šādas izmaksas neaizvietos resora ikdienas plānotos kārtējos administratīvos  izdevumus. Lūdzam anotācijā arī norādīt informāciju, ka AF investīcijas administrēšanai netiks pieprasīti papildu finanšu līdzekļi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projekta vadības izmaksas, kuras ietver finansējuma saņēmēja projekta vadības un projekta īstenošanas personāla izmaksas un sadarbības partnera projekta īstenošanas personāla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b w:val="1"/>
                <w:rtl w:val="0"/>
              </w:rPr>
              <w:t xml:space="preserve">visām izmaksām</w:t>
            </w:r>
            <w:r w:rsidR="00000000" w:rsidRPr="00000000" w:rsidDel="00000000">
              <w:rPr>
                <w:rtl w:val="0"/>
              </w:rPr>
              <w:t xml:space="preserve">, kas nepieciešamas, lai sasniegtu Darbības noteikumos (</w:t>
            </w:r>
            <w:r w:rsidR="00000000" w:rsidRPr="00000000" w:rsidDel="00000000">
              <w:rPr>
                <w:i w:val="1"/>
                <w:rtl w:val="0"/>
              </w:rPr>
              <w:t xml:space="preserve">Operational Arrangements)</w:t>
            </w:r>
            <w:r w:rsidR="00000000" w:rsidRPr="00000000" w:rsidDel="00000000">
              <w:rPr>
                <w:rtl w:val="0"/>
              </w:rPr>
              <w:t xml:space="preserve"> noteiktos atskaites punktus un mērķus, </w:t>
            </w:r>
            <w:r w:rsidR="00000000" w:rsidRPr="00000000" w:rsidDel="00000000">
              <w:rPr>
                <w:b w:val="1"/>
                <w:rtl w:val="0"/>
              </w:rPr>
              <w:t xml:space="preserve">jābūt iekļautām Atveseļošanas fonda plāna izmaksās/aprēķinos, kas tika apstiprināti no Eiropas Komisijas puses</w:t>
            </w:r>
            <w:r w:rsidR="00000000" w:rsidRPr="00000000" w:rsidDel="00000000">
              <w:rPr>
                <w:rtl w:val="0"/>
              </w:rPr>
              <w:t xml:space="preserve">. Atbilstoši Eiropas Komisijas sniegtajai informācijai, iestāžu esošo darbinieku tekošās atalgojuma izmaksas nav finansējamas no Atveseļošanas fonda plāna finansējuma, jo Atveseļošanas fonda plāna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plāna finansēta projekta/reformas ietvaros nāksies veikt pienākumus, kas nav viņa ikdienas pienākumu ietvaros, iestāde var vērtēt projekta/reformas vadības un īstenošanas personāla atalgojuma izmaksas segt no Atveseļošanas fonda plāna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15.3.6.4. darba vietas pielāgošanas izmaksas bezdarbniekam ar invaliditāti, tai skaitā iekārtu un aprīkojuma iegādes un tehnisko palīglīdzekļu izgatavošanas un iegādes izmaksas, kuras piešķir kā vienreizēju dotāciju;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norādīto informāciju ar anotācijas sadaļā "Ar valsts atbalstu saistītie nosacījumi" norādīto, kur minētas mācību vietas pielāgošanas izmaksas, nevis darba vietas pielāgošanas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Netiešās attiecināmās izmaksas finansējuma saņēmējs un sadarbības partneris projektā plāno kā vienu izmaksu pozīciju, piemērojot netiešo izmaksu vienoto likmi septiņu procentu apmērā no šo noteikumu 15. punktā minētajām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17. punktu, ņemot vērā, ka Atveseļošanas fonda ietvaros netiek paredzēts "netiešo" un "tiešo" izmaksu dalījums. Attiecīgi precizējama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aģentūra mēneša laikā pēc šo noteikumu 21.2. apakšpunktā minētās projekta veidlapas saņemšanas, ja nepieciešams, sadarbojoties ar ministriju,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investīcijas ietvaros Centrālā finanšu un līgumu aģentūra (turpmāk- CFLA) neveic atlasi, lūgums noteikumu projektā paredzēt, ka projekta veidlapas pārbaudi nodrošinās un lēmumu par tās apstiprināšanu pieņems Nozares ministrija, sniedzot informāciju CFLA, kad var uzsākt vienošanās ar finansējuma saņēmēju slēgšanu.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aģentūra mēneša laikā pēc šo noteikumu 21.2. apakšpunktā minētās projekta veidlapas saņemšanas, ja nepieciešams, sadarbojoties ar ministriju,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finanšu un līgumu aģentūra (turpmāk- CFLA) veiks darbības saskaņā ar iekšējo kārtību, lūgums visā noteikumu projekta tekstā neatrunāt konkrētus termiņus CFLA darbību veikšanai (21.3., 26.2., 26.4.apakšp.).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projekta īstenošanas un uzraudzības nosacījumi, tai skaitā dokumentu iesniegšanai un izskatīšanai, vizuālās identitātes prasību nodrošināšanai, atskaites punktu pamatošanai, pašnovērtējuma sagatavošanai, pārbaužu veikšanai un datu ievadei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kādu pašnovērtējumu ir plānots sagatavot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24.punktu, vārdu “šo noteikumu pieņemšanas Ministru kabinetā” vietā lietojot vārdus “projekta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 parakstījuši apliecinājumus par pienākumu ziņot par konstatētajiem vai iespējamajiem trūkumiem un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apliecinājumu paraksta arī par interešu konflikta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25.1.11. nodrošina, ka normatīvajos aktos par Eiropas Savienības Atveseļošanas un noturības mehānisma fonda plāna īstenošanas un uzraudzības kārtību un Eiropas Parlamenta un Padomes 2021. gada 12. februāra Regulas (ES) 2021/241, ar ko izveido Atveseļošanas un noturības mehānismu, 22. panta 2. punkta “e” apakšpunktā minētajām institūcijām  projekta īstenošanas laikā un visā šo noteikumu 25.1.12. apakšpunktā noteiktajā dokumentu glabāšanas termiņā ir pieejami visi ar projekta īstenošanu saistītie dokumentu oriģināli un grāmatvedības sistēmas dati. Dokumentu un datu pieejamību nodrošina vadības informācijas sistēmā vai pie finansējuma saņēmēja. Ja dokumenti un dati ir pieejami tikai pie finansējuma saņēmēja, nodrošina to iesniegšanu institūcijai, kas atbilstoši normatīvajos aktos par Eiropas Savienības Atveseļošanas un noturības mehānisma plāna īstenošanas un uzraudzības kārtību noteiktajai kompetencei to pieprasa;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25.1.11. punktu, norādot, ka informācijas pieejamība tiek nodrošināta arī Latvijas Republikas un Eiropas Komisijas finansēšanas nolīgumā par Atveseļošanas un noturības mehānismu minētajām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25.1.11. nodrošina, ka normatīvajos aktos par Eiropas Savienības Atveseļošanas un noturības mehānisma fonda plāna īstenošanas un uzraudzības kārtību un Eiropas Parlamenta un Padomes 2021. gada 12. februāra Regulas (ES) 2021/241, ar ko izveido Atveseļošanas un noturības mehānismu, 22. panta 2. punkta “e” apakšpunktā minētajām institūcijām  projekta īstenošanas laikā un visā šo noteikumu 25.1.12. apakšpunktā noteiktajā dokumentu glabāšanas termiņā ir pieejami visi ar projekta īstenošanu saistītie dokumentu oriģināli un grāmatvedības sistēmas dati. Dokumentu un datu pieejamību nodrošina vadības informācijas sistēmā vai pie finansējuma saņēmēja. Ja dokumenti un dati ir pieejami tikai pie finansējuma saņēmēja, nodrošina to iesniegšanu institūcijai, kas atbilstoši normatīvajos aktos par Eiropas Savienības Atveseļošanas un noturības mehānisma plāna īstenošanas un uzraudzības kārtību noteiktajai kompetencei to pieprasa;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25.1.11. punktā minēto, lūdzu skaidrot kāda būs rīcība, ja dokumenti saistībā ar projekta īstenošanu būs pieejami tikai pie sadarbības partnera. Vai plānots, ka sadarbības partneris visus dokumentus nodos finansējuma saņēmējam uzglabāšanai vai iesniegts tos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ja aģentūra noraida projekta, plānoto progresa pārskatu iesniegšanas grafika vai plānoto iepirkumu plāna grozījumu priekšlikumu, tā norāda atteikuma pamatojumu un, ja nepieciešams, informāciju par veicamajiem precizējumiem un tā atkārtotas iesniegšanas kārtību un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atbalsta piešķiršanas atteikuma apstrīdēšanas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Nodrošinot šo noteikumu 27. punktā noteikto projekta īstenošanas uzraudzību, normatīvajos aktos par Eiropas Savienības Atveseļošanas un noturības mehānisma plāna īstenošanas un uzraudzības kārtību noteiktās institūcijas atbilstoši kompetencei veic vismaz šādas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28. punkta redakciju, precizējot institūciju, kurai tiks uzlikts attiecīgais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Projektu īsteno līdz 2026. gada 30. septembrim.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33.punktu, jo atbilstoši Finanšu ministrijas izstrādātajām  "Vadlīnijas informatīvā ziņojuma vai Ministru kabineta noteikumu izstrādei par Eiropas Savienības Atveseļošanas un noturības mehānisma plāna reformas vai investīcijas ieviešanu", AF investīciju projekti ir jāīsteno un rādītāji ir jāsasniedz, pievienojot to sasniegšanu pamatojošo dokumentāciju, vēlākais </w:t>
            </w:r>
            <w:r w:rsidR="00000000" w:rsidRPr="00000000" w:rsidDel="00000000">
              <w:rPr>
                <w:b w:val="1"/>
                <w:rtl w:val="0"/>
              </w:rPr>
              <w:t xml:space="preserve">līdz 2026.gada 30.jūnijam</w:t>
            </w:r>
            <w:r w:rsidR="00000000" w:rsidRPr="00000000" w:rsidDel="00000000">
              <w:rPr>
                <w:rtl w:val="0"/>
              </w:rPr>
              <w:t xml:space="preserve">, lai līgumslēdzējs, nozares ministrija varētu veikt visas nepieciešamās pārbaudes, noslēguma maksājumus un sagatavot nepieciešamo informāciju pārvaldības deklarācijas un audita kopsavilkuma sagatavošanai saskaņā ar Eiropas Savienības Atveseļošanas un noturības mehānisma un nacionālā ekonomikas un atveseļošanas un noturības plāna īstenošanas uzraudzības kārtību.[1]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noteikumu projekta 6.1.4.apakšpunktā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MK 2021.gada 7.septembra noteikumi Nr. 621 “Eiropas Savienības Atveseļošanas un noturības mehānisma plāna īstenošanas un uzraudzības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w:t>
            </w:r>
            <w:r w:rsidR="00000000" w:rsidRPr="00000000" w:rsidDel="00000000">
              <w:rPr>
                <w:i w:val="1"/>
                <w:rtl w:val="0"/>
              </w:rPr>
              <w:t xml:space="preserve">De minimis</w:t>
            </w:r>
            <w:r w:rsidR="00000000" w:rsidRPr="00000000" w:rsidDel="00000000">
              <w:rPr>
                <w:rtl w:val="0"/>
              </w:rPr>
              <w:t xml:space="preserve"> atbalsta piešķiršanas brīdi nosaka atbilstoši normatīvajiem aktiem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2013. gada 18. decembra Regulas (ES) Nr. 1407/2013 par Līguma par Eiropas Savienības darbību 107. un 108. panta piemērošanu de minimis atbalstam (turpmāk - Komisijas regula Nr.1407/2013) 3.panta 4.punkts nosaka, ka de minimis atbalstu uzskata par piešķirtu brīdī, kad uzņēmumam saskaņā ar piemērojamo valsts tiesisko regulējumu ir piešķirtas likumīgās tiesības saņemt atbalstu, neatkarīgi no datuma, kurā de minimis atbalsts uzņēmumam izmaksāts, lūdzam precīzi norādīt, kurš brīdis tiks uzskatīts par juridiski saistošu, kad atbalsta saņēmējam radīsies likumīgas tiesības saņemt  de minimis atbalstu šo MK noteikumu ietvaros (piem., lēmums par atbalsta piešķiršanu vai līguma parakstīšanas datums).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noteikumi, uz kuriem minēta atsauce 39.punktā neparedz nekādas norādes par to, kurš brīdis tiek uzskatīts par de minimis piešķiršanas brīdi 3.1.2.5.i. investīcijas ietvaros. Atbilstoši iebildumam, lūdzam precizēt MK noteikumu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investīcija ir turpinājums 2014.-2020.gada plānošanas perioda īstenotajam projektam, Centrālā finanšu un līgumu aģentūra (turpmāk- CLFA) piekrīt veikt projekta pilna cikla uzraudzību (izņemot atbilstoši MK noteikumiem Nr.621 AF investīcijās divpakāpju projektos CFLA neuzraudzīs komercdarbības atbalsta nosacījumus gala saņēmēju līmenī), tomēr nebūtu korekti norādīt, ka CFLA tas neradīs papildu administratīvo slogu. Lūdzam precizēt šo informāciju anotācijā, norādot, ka CFLA šī papildus funkcija prasīs indikatīvi 0.35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apakšsadaļas "</w:t>
            </w:r>
            <w:r w:rsidR="00000000" w:rsidRPr="00000000" w:rsidDel="00000000">
              <w:rPr>
                <w:i w:val="1"/>
                <w:rtl w:val="0"/>
              </w:rPr>
              <w:t xml:space="preserve">Investīcijas ietvaros ir plānotas šādas atbalstāmās darbības un to indikatīvās attiecināmās AF izmaksas:</w:t>
            </w:r>
            <w:r w:rsidR="00000000" w:rsidRPr="00000000" w:rsidDel="00000000">
              <w:rPr>
                <w:rtl w:val="0"/>
              </w:rPr>
              <w:t xml:space="preserve">" 16. punktā precizēt atsauci uz FM vadlīniju “</w:t>
            </w:r>
            <w:r w:rsidR="00000000" w:rsidRPr="00000000" w:rsidDel="00000000">
              <w:rPr>
                <w:i w:val="1"/>
                <w:rtl w:val="0"/>
              </w:rPr>
              <w:t xml:space="preserve">Vadlīnijas par vienkāršoto izmaksu izmantošanas iespējām un to piemērošana Eiropas Savienības kohēzijas politikas programmas 2021. – 2027.gadam ietvaros</w:t>
            </w:r>
            <w:r w:rsidR="00000000" w:rsidRPr="00000000" w:rsidDel="00000000">
              <w:rPr>
                <w:rtl w:val="0"/>
              </w:rPr>
              <w:t xml:space="preserve">” apakšpunktu - no 21.7. uz 27.1.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1.3.sadaļā un anotācijas 3.sadaļas 6.2.apakšpunktā norādīto finansējuma apmēru projekta vadības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punkta “Risinājuma apraksts” 16.apakšpunktu, norādot nepieciešamo finansējumu projekta vadības un īstenošanas nodrošināšanai sadalījumā starp investīcijas finansējuma saņēmēju (Nodarbinātības valsts aģentūra) un sadarbības partneri (Izglītības kvalitātes valsts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1.3.sadaļu, ņemot vērā, ka punktā “Risinājuma apraksts” norādīto atbalstāmo darbību kopējais finansējums matemātiski veidojas 28 355 172 </w:t>
            </w:r>
            <w:r w:rsidR="00000000" w:rsidRPr="00000000" w:rsidDel="00000000">
              <w:rPr>
                <w:i w:val="1"/>
                <w:rtl w:val="0"/>
              </w:rPr>
              <w:t xml:space="preserve">euro</w:t>
            </w:r>
            <w:r w:rsidR="00000000" w:rsidRPr="00000000" w:rsidDel="00000000">
              <w:rPr>
                <w:rtl w:val="0"/>
              </w:rPr>
              <w:t xml:space="preserve">, savukārt noteikumu projekta 13.punkts paredz attiecināmo Atveseļošanas fonda finansējumu 28 710 000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apkašsadaļas "I</w:t>
            </w:r>
            <w:r w:rsidR="00000000" w:rsidRPr="00000000" w:rsidDel="00000000">
              <w:rPr>
                <w:i w:val="1"/>
                <w:rtl w:val="0"/>
              </w:rPr>
              <w:t xml:space="preserve">nvestīcijas ietvaros ir plānotas šādas atbalstāmās darbības un to indikatīvās attiecināmās AF izmaksas</w:t>
            </w:r>
            <w:r w:rsidR="00000000" w:rsidRPr="00000000" w:rsidDel="00000000">
              <w:rPr>
                <w:rtl w:val="0"/>
              </w:rPr>
              <w:t xml:space="preserve">:" 2. un 7. punktu papildināt ar informāciju, vai nerodas dubultās finansēšanas risks minētajām elastīgu mācību formas  integrešanas izmaksām BURVIS, kā arī BURVIS pielāgošanas izmaksām, piemērojot LM vienas vienības izmaksu standarta likmes aprēķina un piemērošanas metodiku apmācību programmu apguves un stipendijas izmaksām, ņemot vērā, ka šādas izmaksas ir paredzētas arī SAM 7.1.1.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punktu “Cita informācija”, norādot, ka pēc projekta apstiprināšanas nepieciešamo finansējumu 2023.gadam LM normatīvajos aktos noteiktajā kārtībā lūgs pārdalīt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savukārt par nepieciešamo finansējumu 2024. – 2026.gadam LM sniegs priekšlikumu LM pamatbudžeta bāzes 2024. – 2026. gadam sagatavošanas un izskatīšanas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33.punkts paredz, ka projektu īsteno līdz 2026.gada 30.septembrim, savukārt anotācijas 3.sadaļā norādīta noteikumu projekta ietekme uz valsts budžetu tikai līdz 2025.gadam, līdz ar to nepieciešams precizēt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(turpmāk - MK) protokollēmuma projektu ar jaunu 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MK 22.03.2022. sēdes protokolu Nr.17 34.§ “Informatīvais ziņojums “Par Kohēzijas politikas Eiropas Savienības fondu investīciju aktualitātēm līdz 2022.gada 1.februārim (pusgada ziņojums)””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3.1.2.5.i investīcijas īstenošanai nepieciešamo pievienotās vērtības nodokli (izmaksas nav attiecināmas finansēšanai no Atveseļošanas fonda finansējuma) indikatīvi .... euro apmērā segšanu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sagaidīt Eiropas Komisijas neoficiālu viedokli par izstrādāto noteikumu projektu un anotāciju. Informējam, ka tulkojums angļu valodā Eiropas Komisijai ticis elektroniski nosūtīts š.g. 14.februārī.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3.1.2.5.i. investīcijas sasaisti un ietekmi uz īstenojamo reformu atbilstoši AF plānā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2023. gada 30. jūnijam  – lai veicinātu tādu ekonomikas atveseļošanu, kurā tiktu radīts daudz jaunu darbavietu, finansējuma saņēmēja klientiem (bezdarbniekiem, darba meklētājiem, bezdarba riskam pakļautām personām), īstenojot aktīvās darba tirgus politikas pasākumus, ir izveidots pārkvalificēšanās un prasmju pilnveides piedāvājums, kurā galvenā uzmanība pievērsta digitālajām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6.1.1.apakšpunktu pirms skaitļiem un vārdiem "2023. gada 30. jūnijam" liekot vārdu "līdz". Vienlaikus vēršam uzmanību, ka atskaites punkta nosaukumam pilnībā ir jāsakrīt ar Padomes īstenošanas lēmumam par Latvijas atveseļošanas un noturības plāna novērtējuma apstiprināšanu (turpmāk – CID*)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*https://www.esfondi.lv/upload/anm/darbibas_kartiba_lv.pdf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atskaites punkts (127) "</w:t>
            </w:r>
            <w:r w:rsidR="00000000" w:rsidRPr="00000000" w:rsidDel="00000000">
              <w:rPr>
                <w:b w:val="1"/>
                <w:rtl w:val="0"/>
              </w:rPr>
              <w:t xml:space="preserve">Lai veicinātu tādu ekonomikas atveseļošanu, kurā tiktu radīts daudz jaunu darbavietu, Nodarbinātības valsts aģentūras klientiem (bezdarbniekiem, darba meklētājiem, bezdarba riskam pakļautām personām), īstenojot aktīvas darba tirgus politikas pasākumus, ir izveidots pārkvalificēšanās un prasmju pilnveides piedāvājums, kurā galvenā uzmanība pievērsta digitālajām prasmēm</w:t>
            </w:r>
            <w:r w:rsidR="00000000" w:rsidRPr="00000000" w:rsidDel="00000000">
              <w:rPr>
                <w:rtl w:val="0"/>
              </w:rPr>
              <w:t xml:space="preserve">​​​​​​"  līdz 2023. gada 30. jūnijam - jauna pārkvalificēšanās un prasmju (tostarp digitālo prasmju) pilnveides piedāvājuma pieņemšana Nodarbinātības valsts aģentūras klientiem.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līdz 2023. gada 31. decembrim – digitālā rīka (turpmāk – rīks) izstrāde prasmju novērtēšanai;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6.1.2.apakšpunktu. Aicinām skatīt piedāvāto redakciju. Vienlaikus vēršam uzmanību, ka atskaites punkta nosaukumam pilnībā (1:1) ir jāsakrīt ar Padomes īstenošanas lēmumam par Latvijas atveseļošanas un noturības plāna novērtējuma apstiprināšanu (turpmāk – CID*) norādīto. Tādēļ pamatojuma informāciju par </w:t>
            </w:r>
            <w:r w:rsidR="00000000" w:rsidRPr="00000000" w:rsidDel="00000000">
              <w:rPr>
                <w:b w:val="1"/>
                <w:rtl w:val="0"/>
              </w:rPr>
              <w:t xml:space="preserve">viena digitālā rīku </w:t>
            </w:r>
            <w:r w:rsidR="00000000" w:rsidRPr="00000000" w:rsidDel="00000000">
              <w:rPr>
                <w:rtl w:val="0"/>
              </w:rPr>
              <w:t xml:space="preserve">(turpmāk – rīks) izstrāde prasmju novērtēšanai aicinām ietvert noteikumu projekta anotācijā, par piemēru ņemot skaidrojumu no AF plāna/ CID grozījumu izziņas.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atskaites punkts (128) </w:t>
            </w:r>
            <w:r w:rsidR="00000000" w:rsidRPr="00000000" w:rsidDel="00000000">
              <w:rPr>
                <w:b w:val="1"/>
                <w:rtl w:val="0"/>
              </w:rPr>
              <w:t xml:space="preserve">"Digitālo rīku izstrāde prasmju novērtēšanai"</w:t>
            </w:r>
            <w:r w:rsidR="00000000" w:rsidRPr="00000000" w:rsidDel="00000000">
              <w:rPr>
                <w:rtl w:val="0"/>
              </w:rPr>
              <w:t xml:space="preserve"> līdz 2023. gada 31. decembrim izstrādāti un ieviesti digitālie rīki.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6.1.3. līdz 2025. gada 31. martam – 10 000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6.1.3.apakšpunktu.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Padomes īstenošanas lēmumam par Latvijas atveseļošanas un noturības plāna novērtējuma apstiprināšanu (turpmāk – CID) ir noteikti atskaites punkti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Operational Arrangements angļu valodā šeit:  https://commission.europa.eu/system/files/2022-03/countersigned-lv-rrf-oa_and_annexes.pdf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latviešu valodā šeit: https://www.esfondi.lv/upload/anm/darbibas_kartiba_lv.pdf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rādītājs (129) "Bezdarbnieki, darba meklētāji, bezdarba riskam pakļautās personas ar pilnveidotām prasmēm"" – 10 000 līdz 2025. gada 31.martam.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6.3. un 7.punkta apakšpunktus, ņemot vērā, ka atbilstoši EK vadlīnijām par kopējo rādītāju ziņošanu, rādītājs būs</w:t>
            </w:r>
            <w:r w:rsidR="00000000" w:rsidRPr="00000000" w:rsidDel="00000000">
              <w:rPr>
                <w:b w:val="1"/>
                <w:rtl w:val="0"/>
              </w:rPr>
              <w:t xml:space="preserve"> jāziņo pa vecuma grupām un dzimumiem</w:t>
            </w:r>
            <w:r w:rsidR="00000000" w:rsidRPr="00000000" w:rsidDel="00000000">
              <w:rPr>
                <w:rtl w:val="0"/>
              </w:rPr>
              <w:t xml:space="preserve">, kā arī jānorāda, kuras no </w:t>
            </w:r>
            <w:r w:rsidR="00000000" w:rsidRPr="00000000" w:rsidDel="00000000">
              <w:rPr>
                <w:b w:val="1"/>
                <w:rtl w:val="0"/>
              </w:rPr>
              <w:t xml:space="preserve">personām ir piedalījušās digitālo prasmju pilnveidē</w:t>
            </w:r>
            <w:r w:rsidR="00000000" w:rsidRPr="00000000" w:rsidDel="00000000">
              <w:rPr>
                <w:rtl w:val="0"/>
              </w:rPr>
              <w:t xml:space="preserve"> (</w:t>
            </w:r>
            <w:r w:rsidR="00000000" w:rsidRPr="00000000" w:rsidDel="00000000">
              <w:rPr>
                <w:i w:val="1"/>
                <w:rtl w:val="0"/>
              </w:rPr>
              <w:t xml:space="preserve">Participants in digital skills training)</w:t>
            </w:r>
            <w:r w:rsidR="00000000" w:rsidRPr="00000000" w:rsidDel="00000000">
              <w:rPr>
                <w:rtl w:val="0"/>
              </w:rPr>
              <w:t xml:space="preserve">, lūdzam papildināt noteikuma projekta punktu ar normu par šo dalījumu, lai nodrošinātu finansējuma saņēmējam viennozīmīgu izpratnei par uzkrājamajiem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nepieciešamības gadījumā precizēt nosacījumus par unikālo personu ziņošanu atbilstoši EK vadlīnijām par kopējiem radītājiem, ņemot vērā, ka EK vadlīnijas pie šī kopējā rādītāja attiecībā uz unikālo personu ziņošanu ir norādīts, ka gadījumā ir dalībnieks piedalās atsevišķās apmācībās, tad katrā no tām ziņojams kā unikāls (</w:t>
            </w:r>
            <w:r w:rsidR="00000000" w:rsidRPr="00000000" w:rsidDel="00000000">
              <w:rPr>
                <w:i w:val="1"/>
                <w:rtl w:val="0"/>
              </w:rPr>
              <w:t xml:space="preserve">Participation shall be counted per education or training activity, even if it lasts several years. Additionally, a participant to two different education or training activities)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Atskaites punktu, uzraudzības rādītāja un kopējo rādītāju sasniegšanu apliecina Kohēzijas politikas fondu vadības informācijas sistēmā (turpmāk – vadības informācijas sistēma) finansējuma saņēmēja iesniegts šāds dokumentu un informācijas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projekta 7.punkta apakšpunktos minētais, kad atskaites punkts/ mērķis ir uzskatāms par sasniegtu (kā pārbaudes mehānisms), precīzi atbilst tam, kas minēts CID.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atbalsta veids ir grants.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nosaka/norāda uz projektu iesniegumu atlases veidu. Vēršam uzmanību, ka Atveseļošanas un noturības mehānisma ietvaros tiek lietots termins “ierobežots pretendentu loks”. Attiecīgus precizējumus lūdzam veikt arī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īstenošanai kopējais pieejamais finansējums ir 30 153 584 </w:t>
            </w:r>
            <w:r w:rsidR="00000000" w:rsidRPr="00000000" w:rsidDel="00000000">
              <w:rPr>
                <w:i w:val="1"/>
                <w:rtl w:val="0"/>
              </w:rPr>
              <w:t xml:space="preserve">euro</w:t>
            </w:r>
            <w:r w:rsidR="00000000" w:rsidRPr="00000000" w:rsidDel="00000000">
              <w:rPr>
                <w:rtl w:val="0"/>
              </w:rPr>
              <w:t xml:space="preserve">, tai skaitā attiecināmais Atveseļošanas fonda finansējums ir 28 710 000 </w:t>
            </w:r>
            <w:r w:rsidR="00000000" w:rsidRPr="00000000" w:rsidDel="00000000">
              <w:rPr>
                <w:i w:val="1"/>
                <w:rtl w:val="0"/>
              </w:rPr>
              <w:t xml:space="preserve">euro</w:t>
            </w:r>
            <w:r w:rsidR="00000000" w:rsidRPr="00000000" w:rsidDel="00000000">
              <w:rPr>
                <w:rtl w:val="0"/>
              </w:rPr>
              <w:t xml:space="preserve"> un valsts budžeta finansējums (pievienotās vērtības nodoklis) – indikatīvi 1 443 584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noteikuma projekta 13.punktā minētos finansējuma avotus divos (2) atsevišķos noteikuma projekta punktos (finansējuma avotu pārskatāmības nolūkos). T.i. viens par AF finansējumu; otrs par pievienotās vērtības nodokli (turpmāk -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vienošanās/rīkojumā atrunāt, kurš uzraudzīs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PVN attiecināmība no valsts budžeta ir atrunāta iekšējā LM rīkojumā, tad tur arī jāparedz PVN uzraudzības funkcija kā līgumslēdzējam, tā FS: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pirms finansējuma saņemšanas pievienotās vērtības nodokļa izmaksu apmērā, iesniedzot projekta maksājuma pieprasījumu, sniedz apliecinājumu, ka minētās summas nav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atsevišķu projekta izmaksu, t.sk. pievienotās vērtības nodokļa izmaksu uzskaiti un nodalīšanu, kā arī tam ir pienākums atgriezt pārmaksāto pievienotās vērtības nodokļa daļu, ja sākotnēji plānotais pievienotās vērtības nodokļa apjoms būs lielāks, nekā faktiski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Līgumslēdzējs pēc finansējuma saņēmēja maksājumu pieprasījumu saņemšanas pārbauda, vai tam pievienots apliecinājums, ka finansējuma saņēmējs nav atguvis pievienotās vērtības nodokli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izmaksas nav attiecināmas finansēšanai no Atveseļošanas fonda finansējuma, bet šādas izmaksas ir iekļaujamas Atveseļošanas fonda finansētā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konsultācijas mērķa grupas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14.1. apakšpunktu pirms vārda "konsultācijas" papildināt ar vārdu "karjeras", atbilstoši anotācijā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apmācību izmaksas šo noteikumu 14.3.1., 14.3.2., 14.4., 14.5., 14.6. apakšpunktā minēto atbalstāmo darbību īstenošanai – apmācību kupona izmaksas, piemērojot ministrijas vienas vienības izmaksu standarta likmes aprēķina un piemērošanas metodiku apmācību programmu apguves un stipendijas izmaksām (turpmāk – mācību izmaksu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15.3.3.apakšpunktā minētās, Labklājības ministrijas izstrādātās vienības izmaksu metodikas “Vienības izmaksu standarta likmes aprēķina un piemērošanas metodika profesionālās un neformālās izglītības mācību programmas apguves un stipendijas izmaksām”* nosaukumu likt pēdiņās. Papildus lūdzam anotācijā sniegt detalizētāku informāciju par šo metodiku, kā arī norādīt, kur tā pieejama internetā, kad tiks aktualizēta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*https://www.esfondi.lv/upload/Vadlinijas/lmmet_macibas_stipendija_unitcost_31082022.pdf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Atveseļošanas fonda finansējuma ietvaros nav attiecināmas pievienotās vērtības nodokļa izmaksas, bet tās finansējuma saņēmējs un sadarbības partneris sedz no valsts budžeta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18.punktu. Skat. piedāvāto redakciju. Vienlaikus lūdzam precizēt arī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izmaksas nav attiecināmas finansēšanai no Atveseļošanas fonda finansējuma, bet šādas izmaksas ir iekļaujamas Atveseļošanas fonda finansētā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Investīcijas īstenošanas un uzraudzības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noteikumu projektā arī nosacījumus, kā tiks nodrošināta projektu iesniegumu atlase, tostarp kopā ar projektu iesniegumu iesniedzamo dokumentu saraksts.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Investīcijas īstenošanai un uzraudzībai nepieciešamās informācijas iesniegšanu nodrošina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20. punktu, norādot subjektu, kuram attiecīgais pienākums tiek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noteikuma projekta 21.1. apakšpunktu, lai tā lietotājs un piemērotājs gūtu nepārprotamu priekšstatu par normā ietvertajiem pienākumiem un tiesībām. Piedāvājam punktu izdalīt divās daļas nodalot uzdevumu projekta iesniedzējam un Centrālajai finanšu un līgumu aģentūrai. No šī brīža redakcijas izriet, ka uzaicinājumā tiks ietverti uzdevumi arī Centrālajai finanšu un līgumu aģentūrai, lai gan pēc būtības, uzaicinājums tiek nosūtīts projekta iesniedzējam.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21.1. apakšpunktu norādot, kas nosūta uzaicinājumu projekta iesniedzējam.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21.3.3. lūdz projekta iesniedzēju veikt precizējumus projekta veidlapā, nosakot precizējumu veikšanas termiņu, ja projekta veidlapa neatbilst šo noteikumu 21.3.1. apakšpunktā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informāciju, kas nosaka, cik reizes būs iespējams iesniegt precizētu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noteikumu projekta 24.punktā minēto informāciju uz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Īstenojot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projekts nebūtu papildināms ar jaunu punktu par neatkarīga revidenta/ iekšējā auditora iesaisti, ņemot vērā, ka auditu kopsavilkums būs jāiesniedz pie katra maksājuma pieprasījuma. Neatkarīga revidenta/ iekšējā audita izmaksas ir attiecināmas finansēšanai no AF finansējuma, izņemot gadījumus, kad minēto funkciju veic nozares ministrijas vai Valsts kancelejas iekšējā audita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vadlīniju Nr.1 “Vadlīnijas informatīvā ziņojuma vai Ministru kabineta noteikumu izstrādei par Eiropas Savienības Atveseļošanas un noturības mehānisma plāna reformas vai investīcijas ieviešanu” 22.punktu finansējuma saņēmējam var ieplānot neatkarīga revidenta/ iekšējā auditora iesaisti, lai apliecinātu atskaites punkta un/ vai mērķa sasniegšanu un izmaksu pamatotību.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25.1.6. šo noteikumu 14.13. apakšpunktā minētos informācijas un publicitātes pasākumus nodrošina saskaņā ar Eiropas Parlamenta un Padomes 2021. gada 12. februāra Regulas (ES) 2021/241 34. pantu un Eiropas Komisijas un Latvijas Republikas Atveseļošanas un noturības mehānisma finansēšanas nolīguma 10.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25.1.6.apakšpunktā ietverto nosacījumu, ka publicitātes un informatīvos pasākumus nodrošina saskaņā ar Eiropas Parlamenta un Padomes 2021. gada 12. februāra Regulas Nr. 2021/241 34. pantu un Eiropas Komisijas un Latvijas Republikas Atveseļošanas un noturības mehānisma finansēšanas nolīguma 10.pantu, </w:t>
            </w:r>
            <w:r w:rsidR="00000000" w:rsidRPr="00000000" w:rsidDel="00000000">
              <w:rPr>
                <w:b w:val="1"/>
                <w:rtl w:val="0"/>
              </w:rPr>
              <w:t xml:space="preserve">kā arī Eiropas Savienības fondu 2021.–2027. gada plānošanas perioda un Atveseļošanas fonda komunikācijas un dizaina vadlīnijām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25.1.10. ir uzskatāms par datu pārzini saskaņā ar Eiropas Parlamenta un Padomes 2016. gada 27. aprīļa Regulas (ES) Nr. 2016/679 par fizisku personu aizsardzību attiecībā uz personas datu apstrādi un šādu datu brīvu apriti un ar ko atceļ Direktīvu 95/46/EK, ievērošanu (turpmāk – regula Nr. 2016/679) attiecībā uz tādu personas datu apstrādi vadības informācijas sistēmā, kas nepieciešami, lai īstenotu projektu, kā arī sagatavotu un iesniegtu šo noteikumu 25.2.6. apakšpunktā minēto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25.1.10. apakšpunktā atbildības sadalījumu starp finansējuma saņēmēju un sadarbības partneri datu ievadē.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un CFLA vienojas par atbildības sadalījumu datu ievadē, nepieciešamības gadījumā slēdzot starpresoru vienošanās par sadarbību datu ievadē Kohēzijas politikas fondu vadības informācijas sistēmā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25.2.4. veic avansa maksājumu ne vairāk kā 50 procentu apmērā no kupona vērtības, ja izglītības iestāde ir iesniegusi avansa 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25.2.4. apakšpunktu, norādot, kuru projekta atbalstāmo darbību ietvaros tiek veikti avansa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25.2.4. veic avansa maksājumu ne vairāk kā 50 procentu apmērā no kupona vērtības, ja izglītības iestāde ir iesniegusi avansa 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25.2.4. punktu, norādot subjektu, kam avansa maksājums tiek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25.2.5. nodrošina ar projekta īstenošanu saistītā finansējuma, tai skaitā privātā līdzfinansējuma (izmaksas, kuras sedz darba devējs šo noteikumu 14.8. un 14.9.  apakšpunktā minētās atbalstāmās darbības īstenošanai: bezdarbnieku darba algas daļa un valsts sociālās apdrošināšanas obligātās iemaksas par pasākumā iesaistītajiem bezdarbniekiem, izņemot šo noteikumu 15.3.6.2. apakšpunktā noteikto), uzskaiti, pēc nepieciešamības nodrošinot šīs informācijas sniegšanu kontrolējošām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vārdus "kontrolējošām iestādēm" ar vārdiem "iestādēm, kas nodrošina Atveseļošanas fonda uzraudzību, kā arī Latvijas Republikas un Eiropas Komisijas finansēšanas nolīgumā par Atveseļošanas un noturības mehānismu minētajām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25.2.10. uzkrāj informāciju par atbalstu saņēmušām šo noteikumu 5. punktā minētajām mērķa grupas personām, lai nodrošinātu Eiropas Parlamenta un Padomes 2021.gada 12. februāra regula Nr. 2021/241, ar ko izveido Atveseļošanas un noturības mehānismu 22. panta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norādot, kāda informācija par atbalstu saņēmušām personām tiks uzkrāta. Papildus aicinām attiecīgo punktu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Aģentūra: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projekts aptver visus šeit 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CFLA būs līgumslēdzējs, CFLA nodrošinās: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projektu iesniegumu atlases veikšanu, ja projektu iesniegumu atlase ir paredzēta/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līgumu vai vienošanās par projektu īstenošanu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izlases veidā veiks pārbaudes par interešu konflikta, krāpšanas un korupcijas, kā arī dubultfinansējuma riska novēršanas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pārbaudes projektu īstenošanas vietās (pārbaudāmo projektu izlasi veidojot atbilstoši CFLA iekšējā procedūrā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komercdarbības atbalsta nosacījumu ievērošanas pārbaudes, ja tās ir CFLA atbildībā atbilstoši MK noteikumos par AF investīcijas ieviešanu noteiktajam; (Tomēr lūdzam ņemt vērā, ka </w:t>
            </w:r>
            <w:r w:rsidR="00000000" w:rsidRPr="00000000" w:rsidDel="00000000">
              <w:rPr>
                <w:rtl w:val="0"/>
              </w:rPr>
              <w:t xml:space="preserve">atbilstoši Ministru kabineta noteikumiem Nr.621* AF investīcijās divpakāpju projektos CFLA neuzrauga komercdarbības atbalsta nosacījumus gala saņēmēju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ieviešanas progresa un sasniegto rādītāju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 ticamības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7. septembra noteikumi Nr. 621 "Eiropas Savienības Atveseļošanas un noturības mehānisma plāna īstenošanas un uzraudzības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pirms finanšu atbalsta piešķiršanas finansējuma saņēmējs pārbauda, vai saimnieciskās darbības veicējam minētais finanšu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Komisijas regulas Nr. 1407/2013 3. panta 2. punktā,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Vienots uzņēmums ir tāds uzņēmums, kas atbilst Komisijas regulas Nr. 1407/2013 2. panta 2. punktā, Komisijas regulas Nr. 1408/2013 2. panta 2. punktā vai Komisijas regulas Nr. 717/2014 2. panta 2. punktā minētajiem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35.2. punktā nekorekti ir norādīts, ka Komisijas regulas Nr. 1407/2013 2. panta 2. punktā, Komisijas regulas Nr. 1408/2013 2. panta 2. punktā vai Komisijas regulas Nr. 717/2014 2. panta 2. punktā ir iekļauts vienotā uzņēmuma skaidrojums. Minētajos normatīvajos aktos ir izskaidrots viena vienotā uzņēmuma jēdziens, līdz ar to lūdzam, precizēt Ministru kabineta noteikumu projekta 35.2. punktu, aizstājot vārdus: “Vienots uzņēmums” ar vārdiem: “Viens vienots uzņēmums”.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Saimnieciskās darbības veicējs, kuram piemēro </w:t>
            </w:r>
            <w:r w:rsidR="00000000" w:rsidRPr="00000000" w:rsidDel="00000000">
              <w:rPr>
                <w:i w:val="1"/>
                <w:rtl w:val="0"/>
              </w:rPr>
              <w:t xml:space="preserve">de minimis</w:t>
            </w:r>
            <w:r w:rsidR="00000000" w:rsidRPr="00000000" w:rsidDel="00000000">
              <w:rPr>
                <w:rtl w:val="0"/>
              </w:rPr>
              <w:t xml:space="preserve"> atbalstu saskaņā ar Komisijas regulu Nr. 1407/2013 un kas darbojas arī nozarēs, kuras minētas Komisijas regulas Nr. 1407/2013 1. panta 1. punkta “a”, “b” vai “c” apakšpunktā, nodrošina šo nozaru darbību vai izmaksu nodalīšanu.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MK noteikumu projekta 37.punkta redakcijas nav nepārprotami skaidrs nosacījums par izmaksu nodalīšanu, līdz ar to piedāvājam precizēt MK noteikumu projekta redakciju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Saimnieciskās darbības veicējs, kuram piemēro de minimis atbalstu saskaņā ar Komisijas regulu Nr. 1407/2013 un kas darbojas arī nozarēs, kuras minētas Komisijas regulas Nr. 1407/2013 1. panta 1. punkta “a”, “b” vai “c” apakšpunktā, nodrošina šo nozaru darbību vai izmaksu nodalīšanu, saskaņā ar Komisijas regulas Nr. 1407/2013 1. panta 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apakšsadaļu "Finansējuma saņēmēja (NVA) pienākumi" pēdējo rindkopu, norādot kur un kādā veidā Nodarbinātības valsts aģentūra (turpmāk – NVA) nodrošinās privātā līdzfinansējuma uzskaiti.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anotācijas 1.3. sadaļas aprakstu pie "Vai ir izvērtēti alternatīvie risinājumi?", liekot akcentu uz Eiropas Savienības Atveseļošanas un noturības mehānisma plāna 3.1. reformu un investīciju virziena “Reģionālā politika” 3.1.2. reformu “Sociālo un nodarbinātības pakalpojumu pieejamība minimālo ienākumu reformas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risinājumi" apakšsadaļa  "Kopējie rādītāji" pēdējo rindkopu, norādot, ka ņemot vērā Ministru kabineta 2022.gada 22.marta sēdes protokollēmuma (prot. Nr. 17 34. §) par Informatīvais ziņojums "Par Kohēzijas politikas Eiropas Savienības fondu investīciju aktualitātēm līdz 2022.gada 1.februārim (pusgada ziņojums)" (22-TA-417) 8.7.punktā noteikto uzdevumu nozaru ministrijām un institūcijām, kas atbildīgas par AF plāna investīciju un reformu ieviešanu, ieviest efektīvu risku pārvaldību un, konstatējot būtiskus riskus ar divu mēnešu kavējumu saistošo atskaites punktu un mērķu sasniegšanā attiecībā pret Darbības kārtībā noteiktajiem termiņiem, steidzamības kārtībā iesniegt izskatīšanai Ministru kabinetā informatīvo ziņojumu, tai skaitā rīcības variantus, priekšnosacījumus, pasākumus šķēršļu novēršanai un konkrētu priekšlikumu rīcībai, kas nodrošina AF plānā noteikto saistību izpildi AF finansējuma saņemšanai no Eiropas Komisijas.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nosaukumu anotācijas 1.3.sadaļas punktā “Risinājuma apraksts” 10.apakšpunktā norādītajam saīsinājumam “BDMAL”.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norādīto atbalstāmo darbību vidējo izmaksu uz vienu personu norādīt ar diviem cipariem aiz komata.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viennozīmīgi skaidrs, lūdzam anotācijas apakšadaļu "Risinājuma apraksts" papildināt ar informāciju, vai unikālās personas tiks uzskaitītas projekta darbību līmenī vai visā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skaidrot anotācijas 1.3.sadaļā minēto par pievienotās vērtības nodokli (turpmāk - PVN), jo šobrīd anotācija nesniedz pietiekami izvērstu informāciju no kurām darbībām radīsies PVN un cik lielā apmērā katrai no darbībām tās 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pareizi saprotam, tad mācību iestādes (reģistrēti PVN maksātāji) sniedz bezdarba riskam pakļautām personām mācību pakalpojumu, kas ir ar PVN apliekams darījums. Tā kā šīs mācības organizē NVA, tad mācību iestāde izraksta NVA PVN rēķinu par mācību pakalpojuma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redakciju ņemot vērā, ka Atveseļošanas fondā nav tāds izmaksu dalījums kā "netiešās" izmaksas. Līdz ar to precizējams arī noteikumu projekta 17.punkts.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3.sadaļas 6.2.punktā minēto "</w:t>
            </w:r>
            <w:r w:rsidR="00000000" w:rsidRPr="00000000" w:rsidDel="00000000">
              <w:rPr>
                <w:i w:val="1"/>
                <w:rtl w:val="0"/>
              </w:rPr>
              <w:t xml:space="preserve">Projekta vadību un īstenošanu nodrošinās 28 vadības personāla amata vietas un 111 īstenošanas personāla (četras no tām IKVD personāls) amata vietas (kopā – 139 amata vietas</w:t>
            </w:r>
            <w:r w:rsidR="00000000" w:rsidRPr="00000000" w:rsidDel="00000000">
              <w:rPr>
                <w:rtl w:val="0"/>
              </w:rPr>
              <w:t xml:space="preserve">)." Vienlaikus vēršam uzmanību, ka AF plāna 2.pielikumā pie 3.1.2.5.i. sadaļā "Izmantotā metodika un izmaksu apraksts" minētas 135 amata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plānots apstrādāt personas datus, lūdzam aizpildīt anotācijas 8.1.13.punktu.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16.02.2023.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16.02.2023.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