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vienīgais vidēja termiņa budžeta prioritāro attīstības virziens tika noteikts valsts drošība un ministrijas iesniedz priekšlikumus prioritārajiem pasākumiem, tikai kas saistīti ar valsts drošību.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rīcības plāna īstenošanas procesā jāsamēro papildu finansējuma nepieciešamība ar potenciāli pieejamo finansējumu, ņemot vērā valsts budžeta finansiālās iespējas. Tādējādi aicinām pārstrādāt rīcības plāna projektu, pārskatot pielikuma “Ietekmes novērtējums uz valsts un pašvaldību budžetu” tabulas kolonnās “Nepieciešamais papildu finansējums” norādīto papildu nepieciešamā finansējuma apmēru, izvērtējot iespējas samazināt uzdevumu/pasākumu īstenošanai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Finanšu ministrijai norādīto finansējumu valsts pamatfunkciju īstenošanai. Tas nav attiecināms uz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Aldere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- 2.1.1.3. pasākumam nav norādīts rezultatīvais rādītājs, atbildīgā institūcija, kā arī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- 3.1.1.1. pasākumam pie 3.1.1.1.b. darbības rezultāta nav norādīts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- 3.1.2.2. pasākumam nav norādīts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- 3.1.2.3. pasākumam nav norādīta atbildīgā institūcija, kā arī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pielikuma “Ietekmes novērtējums uz valsts un pašvaldību budžetu” tabulā pie visiem pasākumiem, kuriem nepieciešams papildu finansējums, pievienot atsauci, ka pasākums var tikt īstenots, ja valsts budžeta sagatavošanas procesā tiks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savstarpēji salāgot rīcības plāna projektā un tā pielikuma “Ietekmes novērtējums uz valsts un pašvaldību budžetu” tabulā sniegto informāciju par atbildīgajām/līdzatbildīgajām institūcijām (pielikumā finansējums tiek norādīts to institūciju ietvaros, kuras nav norādītas kā atbildīgās vai līdzatbildīgās institūcijas rīcības plāna īstenošanā), ņemot vērā, ka šobrīd sniegtā informācija nesakrīt šādiem pasākumiem: 1.1.1.1, 1.1.1.2., 1.1.4.1., 1.2.1.1., 1.2.1.2., 2.1.1.1., 2.1.1.4.,  2.1.2.2., 2.1.3.1., 2.1.3.2., 2.1.3.3., 2.2.1.1., 2.2.1.2., 2.2.3.1., 3.1.3.3., 3.3.1.2., 3.3.2.3., 4.1.1.2. un 4.2.2.3.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pielikuma “Ietekmes novērtējums uz valsts un pašvaldību budžetu” tabulā svītrot ailes, kur nav norādīts finansējums un kuras nav attiecināmas uz konkrēto uzdevumu/pasākumu.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pielikuma “Ietekmes novērtējums uz valsts un pašvaldību budžetu” tabulā sniegt informāciju par 1.2.1.2., 2.1.1.3., 2.1.2.1., 2.2.1.1., 2.2.1.2., 2.2.2.3., 2.3.1.1., 2.3.2.2., 3.1.1.4., 3.1.2.2., 3.1.2.3., 3.2.1.1., 3.2.2.2., 3.3.2.2., 4.1.1.1., 4.1.2.1., 4.1.2.2., 4.2.1.1., 4.2.2.2. pasākuma finansējumu, attiecīgi norādot, kuras institūcijas budžeta un apakšprogrammas ietvaros tas tiek/tiks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rīcības plāna projekta pielikuma “Ietekmes novērtējums uz valsts un pašvaldību budžetu” ailē “Vidēja termiņa budžeta ietvara likumā plānotais finansējums” 1.1.2.1., 2.1.1.2., 3.1.3.2., 3.2.2.1., 3.3.1.3. un 4.2.2.5. pasākumam 2024.-2026.gadā norādītais Izglītības un zinātnes ministrijai budžeta apakšprogrammā  63.10.00 “Eiropas Sociālā fonda Plus (ESF+) projektu īstenošana (2021–2027)” plānotais finansējums pārsniedz likumā “Par valsts budžetu 2024. gadam un budžeta ietvaru 2024., 2025. un 2026. gadam”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3.3.2.1. pasākumam 2024.-2026.gadā norādītais Izglītības un zinātnes ministrijai budžeta programmā 74.00.00 “Atveseļošanas un noturības mehānisma (ANM) projektu un pasākumu īstenošana” plānotais finansējums pārsniedz likumā “Par valsts budžetu 2024. gadam un budžeta ietvaru 2024., 2025. un 2026. gadam”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minētajā likumā Izglītības un zinātnes ministrijai nav plānots finansējums budžeta apakšprogrammā 62.09.00 “Eiropas Reģionālās attīstības fonda (ERAF) projekti (2021-2027)”, kā tas ir norādīts pie 2.2.1.2., 2.2.2.1. un 2.2.2.2. pasākuma, kā arī budžeta programmā 75.00.00 “Taisnīgas pārkārtošanās fonda (TPF) projektu un pasākumu īstenošana”, kā tas ir norādīts pie 3.3.1.3.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rīcības plāna projekta pielikumā “Ietekmes novērtējums uz valsts un pašvaldību budžetu” pie pasākuma 2.1.3.1. “Ieviest un īstenot elastīgu un modulāru programmu piedāvājumu augstākajā izglītībā, kas paredz vienlaikus dažādu kompetenču un prasmju apguves iespējas sadarbības augstskolās” ailē “turpmāk ik gadu (ja pasākuma izpilde nav terminēta)” norādītais Iekšlietu ministrijai papildu nepieciešamais valsts budžeta finansējums 1 667 461 </w:t>
            </w:r>
            <w:r w:rsidR="00000000" w:rsidRPr="00000000" w:rsidDel="00000000">
              <w:rPr>
                <w:i w:val="1"/>
                <w:rtl w:val="0"/>
              </w:rPr>
              <w:t xml:space="preserve">euro</w:t>
            </w:r>
            <w:r w:rsidR="00000000" w:rsidRPr="00000000" w:rsidDel="00000000">
              <w:rPr>
                <w:rtl w:val="0"/>
              </w:rPr>
              <w:t xml:space="preserve"> apmērā, ņemot vērā, ka ne 2025., 2026. un 2027.gadā nav norādīts, ka šī pasākuma īstenošanai būtu nepieciešams papildu finansējums, kā arī nav iekļauti aprēķini par papildu nepieciešamo finansējumu. Attiecīgi lūdzam skaidrot, precizēt vai papildināt plāna projekta pielikumā iekļauto informāciju pie iepriekš minētā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“Ietekmes novērtējums uz valsts un pašvaldību budžetu” sniegto informāciju pie 3.1.1.1. pasākuma, ievērojot rīcības plāna projektā pasākuma īstenošanā norādītās atbildīgās vai līdzatbildīgās institūcijas,  attiecīgi svītrot Valsts prezidenta kanceleju un Finanšu ministriju, savukārt papildināt ar resora “Ministru kabinets” budžeta programmas/apakšprogrammas kodu un nosaukumu kuras ietvaros pasākums tiks īstenots, kā arī pasākuma izpildei vidēja termiņa budžeta ietvara likumā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precizējama informācija par 3.1.3.3.pasākumam vidēja termiņa budžeta ietvara likumā plānoto un papildu nepieciešamo finansējumu. Ailē “Vidēja termiņa budžeta ietvara likumā plānotais finansējums” 2025.gadā svītrojams finansējums 9 899 600 </w:t>
            </w:r>
            <w:r w:rsidR="00000000" w:rsidRPr="00000000" w:rsidDel="00000000">
              <w:rPr>
                <w:i w:val="1"/>
                <w:rtl w:val="0"/>
              </w:rPr>
              <w:t xml:space="preserve">euro</w:t>
            </w:r>
            <w:r w:rsidR="00000000" w:rsidRPr="00000000" w:rsidDel="00000000">
              <w:rPr>
                <w:rtl w:val="0"/>
              </w:rPr>
              <w:t xml:space="preserve"> apmērā, savukārt ailē “Nepieciešamais papildu finansējums” 2025.gadā svītrojams finansējums 9 899 600 </w:t>
            </w:r>
            <w:r w:rsidR="00000000" w:rsidRPr="00000000" w:rsidDel="00000000">
              <w:rPr>
                <w:i w:val="1"/>
                <w:rtl w:val="0"/>
              </w:rPr>
              <w:t xml:space="preserve">euro</w:t>
            </w:r>
            <w:r w:rsidR="00000000" w:rsidRPr="00000000" w:rsidDel="00000000">
              <w:rPr>
                <w:rtl w:val="0"/>
              </w:rPr>
              <w:t xml:space="preserve"> apmērā un 11 387 280 </w:t>
            </w:r>
            <w:r w:rsidR="00000000" w:rsidRPr="00000000" w:rsidDel="00000000">
              <w:rPr>
                <w:i w:val="1"/>
                <w:rtl w:val="0"/>
              </w:rPr>
              <w:t xml:space="preserve">euro</w:t>
            </w:r>
            <w:r w:rsidR="00000000" w:rsidRPr="00000000" w:rsidDel="00000000">
              <w:rPr>
                <w:rtl w:val="0"/>
              </w:rPr>
              <w:t xml:space="preserve"> apmērā, to vietā norādot finansējumu 11 287 213 </w:t>
            </w:r>
            <w:r w:rsidR="00000000" w:rsidRPr="00000000" w:rsidDel="00000000">
              <w:rPr>
                <w:i w:val="1"/>
                <w:rtl w:val="0"/>
              </w:rPr>
              <w:t xml:space="preserve">euro</w:t>
            </w:r>
            <w:r w:rsidR="00000000" w:rsidRPr="00000000" w:rsidDel="00000000">
              <w:rPr>
                <w:rtl w:val="0"/>
              </w:rPr>
              <w:t xml:space="preserve"> apmērā ar pievienotu atsauci, ka finansējums 2025.gadā 9 799 533 </w:t>
            </w:r>
            <w:r w:rsidR="00000000" w:rsidRPr="00000000" w:rsidDel="00000000">
              <w:rPr>
                <w:i w:val="1"/>
                <w:rtl w:val="0"/>
              </w:rPr>
              <w:t xml:space="preserve">euro</w:t>
            </w:r>
            <w:r w:rsidR="00000000" w:rsidRPr="00000000" w:rsidDel="00000000">
              <w:rPr>
                <w:rtl w:val="0"/>
              </w:rPr>
              <w:t xml:space="preserve"> apmērā jau ieplānots Izglītības un zinātnes ministrijas bāzes 2025.-2028.gadam izdevumos, pārdalot finansējumu no 74.resora “Gadskārtējā valsts budžeta izpildes procesā pārdalāmais finansējums” programmas 23.00.00 “Valsts atbalsta programmas”. Attiecīgi precizējami arī aprēķini, jo šobrīd norādīts viss pasākuma īstenošanai nepieciešamais finansējums, nevis papildu nepieciešamais.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3.3.1.3. pasākumam norādīts finansējums, kas plānots vidēja termiņa budžeta ietvara likumā, taču nav norādīta Izglītības un zinātnes ministrijas budžeta apakšprogramma, kuras ietvaros tas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norādīts 4.1.1.3. un 4.1.2.3. pasākums, savukārt rīcības plāna projektā šāds pasākums nav norādīts. Attiecīgi lūdzam precizēt un savstarpēji salāgot sniegto informāciju. Papildus minētajiem pasākumiem nav norādīts finansējums un Izglītības un zinātnes ministrijas budžeta apakšprogramma, kuras ietvaros tas tiek/tiks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aprēķinu pielikumā pie 2.1.1.2. pasākuma skaidrot 2.1. izdevumu pozīcijas pieaugumu, ņemot vērā, ka papildu nepieciešamais finansējums centralizēto eksāmenu  darbu vērtētāju atalgojumam 2025.gadā, salīdzinot ar 2024.gada izmaksām pieaug par vairāk kā 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rīcības plāna projekta aprēķinu pielikumā par 2.1.2.2., 2.2.3.2., 3.1.1.5., 3.1.3.1. un 3.2.2.2. pasākumu sniegtās informācijas/aprēķiniem nav iespējams gūt pārliecību par uzrādīto papildu nepieciešamā finansējuma pamatojumu, jo uzrādītajam finansējumam nav pievienoti detalizēti aprēķini. Savukārt par 3.3.2.2. pasākumu aprēķini nav 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aprēķinu pielikumā 2.1.2.2. pasākumam uz Zemkopības ministriju attiecināmais valsts finansēto vietu skaits norādīts 409, vienlaikus likuma “Par valsts budžetu 2024. gadam un budžeta ietvaru 2024., 2025. un 2026. gadam” paskaidrojumos Zemkopības ministrijai politikas un resursu vadības kartē “3. Cilvēkresursu un pētījumu attīstības veicināšana” norādīts, ka valsts budžeta finansētas mācību vietas Bulduru Tehnikumā un Malnavas koledžā kopā plānotas 354. Ņemot vērā minēto, lūdzam precizēt vai sniegt skaidrojumu, kāpēc informācija par valsts finansētām vietām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aprēķinu pielikumā par 4.2.2.3. pasākumu nav sniegta korekta informācija. Saskaņā ar precizēto konceptuālo ziņojumu “Par pāreju uz ciklisku augstskolu un koledžu akreditāciju” (24-TA-313) uz Ministru kabinetu atbalstīšanai tiek virzīts risinājuma variants - augstskolu un koledžu finansēts kvalitātes vērtēšanas posms, kas tiks īstenots piešķirto valsts budžeta līdzekļu ietvaros. Turklāt aprēķinu failā tiek summēti visi trīs minētajā konceptuālajā ziņojumā piedāvātie risinājuma varianti. Ņemot vērā minēto, lūdzam svītrot informāciju par šim pasākumam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rīcības plāna sadaļas “1. Plāna kopsavilkums” otro rindkopu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plānā iekļauto uzdevumu Nr.1.1.4.1. un 1.1.4.2. īstenošana radīs finansiālu ietekmi arī uz pašvaldību budžetiem, līdz ar to lūgums pie minētajiem uzdevumiem norādīt arī indikatīvi papildu nepieciešamo pašvaldību budžeta </w:t>
            </w:r>
            <w:r w:rsidR="00000000" w:rsidRPr="00000000" w:rsidDel="00000000">
              <w:rPr>
                <w:rtl w:val="0"/>
              </w:rPr>
              <w:t xml:space="preserve">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ir uzskaitīti vairāki pasākumi, kuru ietvaros gala saņēmēji būs gan fiziskas personas, gan arī, piemēram, iespējams, juridiskās personas (piemēram, izstrādāti MK noteikumi atbalsta pasākumiem darba devējiem darbinieku papildu izglītošanā), lūdzam papildināt plānu ar informāciju, ka, ieviešot plānā ietvertos pasākumus, tiks izvērtēts, vai pasākuma ietvaros tiks sniegts komercdarbības atbalsts un gadījumā, ja pasākums kvalificēsies kā komercdarbības atbalsta pasākums, tiks nodrošināta tā atbilstība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Vides aizsardzības un reģionālās attīstības ministriju, Veselības ministriju, Zemkopības ministriju un Valsts kanceleju. Minētās institūcijas atbilstoši kompetencei nodrošina Plāna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pasākumos Finanšu ministrija nav norādīta kā līdzatbildīgā institūcija, bet savukārt Ministru kabineta rīkojuma projekta 2.punktā Finanšu ministrija ir norādīta kā līdzatbildīgā institūcija. Tādējādi lūdzam attiecībā uz Finanšu ministriju salāgot plāna projektā norādītos pasākumus ar MK rīkojuma projekta 2.punktu par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ar atsaucēm darbības, kuru īstenošana plānota Eiropas Savienības kohēzijas politikas programmas 2021. – 2027. gadam un/vai Atveseļošanas un noturības mehānisma plāna ietvaros, ņemot vērā, ka šobrīd vairākām darbībām, kuras faktiski tiks īstenotas projektu ietvaros, nav norādītā atsauce uz konkrētu pasākumu vai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projekta sadaļas "Plāna kopsavilkums" otro rindkopu, norādot korektu Eiropas Savienības kohēzijas politikas programmas 2021. – 2027. gadam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(Elīna Zariņa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projekta sadaļu "Saīsinājumi" ar Eiropas Sociālā fonda plus saīsinājumu "ESF+", ņemot vērā, ka tas tiek lietots rīcības plāna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(Elīna Zariņa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kopsavilkuma pirmajā rindkopā norādīt korektu atsauci uz Ministru kabineta 2021. gada 22. jūnija rīkojuma Nr. 436 apakšpunktu, ņemot vērā, ka rīcības plāna pamatnostādņu ieviešanai laikposmam no 2024. gada līdz 2025. gadam sagatavošana un iesniegšana MK noteikta 4.2.apakšpunktā.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