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nacionālas iniciatīvas “Study in Latvia” turpmāko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 iniciatīvas stratēģiskā daba (demogrāfijas problēmu risināšana, ieguldījums cilvēkkapitalā, valsts konkurētspēja) prasa valsts līmeņa bāzes finansējumu, nevis augstākās izglītības programmu budžeta samazināšanu. Ziņojumā minētais arguments, ka tiek pārdalīts no "jaunas, teorētiskas iniciatīvas" (digitālā pārvaldība), nemaina faktu, ka šī nauda joprojām tiek ņemta no augstākās izglītības apakšprogrammas. Tas rada bīstamu precedentu, kur atbalsta funkcijas tiek finansētas uz pamatdarbības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augstskolas augstu vērtē SiL dialoga funkciju, ir jābūt skaidram mehānismam, kā "labās prakses" augstskolas (kas reāli piesaista studentus) var tieši ietekmēt SiL mārketinga stratēģiju un budžeta izlietojumu. SiL ir jādarbojas kā "lietussargam" un atbalstam augstskolu stratēģijām, nevis kā paralēlai, neatkarīgai mārketinga aģentūrai, kas konkurē par tiem pašiem studentiem vai neefektīvi izmanto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"Labās prakses" pārveide par saistošu normu un ar to saistīto principu kodificēšana likumā, neiesaistot augstskolas (īpaši lielās un "labās prakses" augstskolas) katra punkta izstrādē, rada risku, ka tiks radīts neelastīgs regulējums, kas palielina birokrātiju, bet ne vienmēr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31.10.2025.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31.10.2025.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Atzinumi_25-TA-2483.docx</dc:title>
</cp:coreProperties>
</file>

<file path=docProps/custom.xml><?xml version="1.0" encoding="utf-8"?>
<Properties xmlns="http://schemas.openxmlformats.org/officeDocument/2006/custom-properties" xmlns:vt="http://schemas.openxmlformats.org/officeDocument/2006/docPropsVTypes"/>
</file>