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vispārējās izglītības iestādēm, lai to īstenotajās izglītības programmās uzņemtu izglītojamos ar speciālām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kādas izvirzāmas vispārējās izglītības iestādēm (turpmāk – izglītības iestāde), lai to īstenotajās, vispārējās izglītības programmās uzņemtu izglītojamos ar speciālām vajadzībām (turpmāk – izglītojamais).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16.</w:t>
            </w:r>
            <w:r w:rsidR="00000000" w:rsidRPr="00000000" w:rsidDel="00000000">
              <w:rPr>
                <w:vertAlign w:val="superscript"/>
                <w:rtl w:val="0"/>
              </w:rPr>
              <w:t xml:space="preserve">6 </w:t>
            </w:r>
            <w:r w:rsidR="00000000" w:rsidRPr="00000000" w:rsidDel="00000000">
              <w:rPr>
                <w:rtl w:val="0"/>
              </w:rPr>
              <w:t xml:space="preserve">pantu t</w:t>
            </w:r>
            <w:r w:rsidR="00000000" w:rsidRPr="00000000" w:rsidDel="00000000">
              <w:rPr>
                <w:i w:val="1"/>
                <w:rtl w:val="0"/>
              </w:rPr>
              <w:t xml:space="preserve">ehnikums un profesionālā vidusskola ir tiesīgi īstenot arī vispārējās pamatizglītības vai vispārējās vidējās izglītības programmas sadarbībā ar Ieslodzījuma vietu pārvaldi, saņemot izglītības un zinātnes ministra atļauju. </w:t>
            </w:r>
            <w:r w:rsidR="00000000" w:rsidRPr="00000000" w:rsidDel="00000000">
              <w:rPr>
                <w:rtl w:val="0"/>
              </w:rPr>
              <w:t xml:space="preserve">Noteikuma projekta 1.punktā noteikts, ka noteikumi nosaka prasības, kādas izvirzāmas vispārējās izglītības iestādēm, lai to īstenotajās, vispārējās izglītības programmās uzņemtu izglītojamos ar speciālām vajadzībām. Ievērojot minēto, nav skaidrs, vai noteikumu projektā noteiktais attiecas arī uz Profesionālās izglītības likuma 16.</w:t>
            </w:r>
            <w:r w:rsidR="00000000" w:rsidRPr="00000000" w:rsidDel="00000000">
              <w:rPr>
                <w:vertAlign w:val="superscript"/>
                <w:rtl w:val="0"/>
              </w:rPr>
              <w:t xml:space="preserve">6</w:t>
            </w:r>
            <w:r w:rsidR="00000000" w:rsidRPr="00000000" w:rsidDel="00000000">
              <w:rPr>
                <w:rtl w:val="0"/>
              </w:rPr>
              <w:t xml:space="preserve"> pantā minētajām izglītības iestādēm. Ja attiecas, tad lūdzam attiecīgi precizēt noteikumu projektu vai ietvert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pēc šo noteikumu 5.2.apakšpunktā minētā atzinuma saņemšanas, vecāki (personas, kas realizē aizgādību) nevēršas pedagoģiski medicīniskajā komisijā, tad izglītības iestāde, informējot vecākus (personas, kas realizē aizgādību), ir tiesīga vērsties bāriņtiesā ar iesniegumu lēmuma pieņemšanai par pedagoģiski medicīniskās komisijas atzinuma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projekta anotācijā par projekta 6. un 7.2. punkta sasaisti ar Bāriņtiesu likumu. Gadījumā, ja bāriņtiesu darbību regulējošie normatīvie akti tieši neparedz funkciju pieņemt lēmumu par obligātu izglītojamā nosūtīšanu uz pedagoģiski medicīnisko komisiju vai obligātu psiholoģisko novērtēšanu, anotācijā ir nepieciešams juridiski pamatot, no kurām vispārīgajām bāriņtiesas funkcijām un pilnvarām šāda kompetence tiek piešķirta. Tāpat anotācijā ir skaidri jādefinē bāriņtiesas rīcība pēc izglītības iestādes iesnieguma saņemšanas un šādas iesaistes tiesiskās sekas. Pretējā gadījumā norma būs deklaratīva, radot tiesisko nenoteiktību, un izglītības iestādes varētu saskarties ar situāciju, kurā bāriņtiesai trūks skaidra mehānisma praktiska risinājuma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individuālā plāna īstenošanu atbildīgais pedagogs un individuālā plāna īstenošanā iesaistītie pedagogi ne retāk kā reizi 6 mēnešos pirmsskolas izglītības pakāpē vai divas reizes mācību gadā pamatizglītības un vidējās izglītības pakāpē izvērtē tā īstenošanas gaitu, informējot pilngadīgu izglītojamo vai vecākus (personas, kas realizē aizgādību) par mācību satura apguves dinamiku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jaunā redakcija neparedz vecāku iesaisti plāna izvērtēšanā, bet paredz tikai vecāku informēšanu, lūdzam sniegt skaidrojumu projekta anotācijā, norādot to, kādēļ projekts paredz mainīt vecāku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19.05.2026.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19.05.2026.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Atzinumi_25-TA-2683.docx</dc:title>
</cp:coreProperties>
</file>

<file path=docProps/custom.xml><?xml version="1.0" encoding="utf-8"?>
<Properties xmlns="http://schemas.openxmlformats.org/officeDocument/2006/custom-properties" xmlns:vt="http://schemas.openxmlformats.org/officeDocument/2006/docPropsVTypes"/>
</file>