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šo noteikumu </w:t>
            </w:r>
            <w:r w:rsidR="00000000" w:rsidRPr="00000000" w:rsidDel="00000000">
              <w:rPr>
                <w:rtl w:val="0"/>
              </w:rPr>
              <w:t xml:space="preserve">7.4.</w:t>
            </w:r>
            <w:r w:rsidR="00000000" w:rsidRPr="00000000" w:rsidDel="00000000">
              <w:rPr>
                <w:rtl w:val="0"/>
              </w:rPr>
              <w:t xml:space="preserve"> apakšpunktā minētajiem saimnieciskās darbības veicējiem – Komisijas regulas Nr.  </w:t>
            </w:r>
            <w:r w:rsidR="00000000" w:rsidRPr="00000000" w:rsidDel="00000000">
              <w:rPr>
                <w:rtl w:val="0"/>
              </w:rPr>
              <w:t xml:space="preserve">717/2014</w:t>
            </w:r>
            <w:r w:rsidR="00000000" w:rsidRPr="00000000" w:rsidDel="00000000">
              <w:rPr>
                <w:rtl w:val="0"/>
              </w:rPr>
              <w:t xml:space="preserve"> 3. panta 2. punktā noteikto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ar 2023. gada 23. oktobra vēstuli  informēja Ekonomikas ministriju, ka ar 2023. gada 25. oktobri stāsies spēkā Komisijas 2023. gada 4. oktobra Regula (ES) 2023/2391, 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 (turpmāk – Regula 2023/2391).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izdarītajiem grozījumiem turpmāk, saskaņā ar Regulu Nr. 717/2014 de minimis atbalstu paredz tikai primārai zvejniecībai un akvakultūrai, kā arī palielina vienam vienotam uzņēmumam trīs fiskālo gadu periodā piešķirtā de minimis atbalsta kopējo summu līdz 40 000 euro (turpmāk – atbalsta limits vienam vienotam uzņēmumam) ar noteikumu, ka dalībvalsts ir izveidojusi valsts centrālo reģistru. Atbilstoši ir precizēts Regulas Nr. 717/2014 piemērošanas periods, aizdevumu un garantiju piešķiršanas nosacījumi, kā arī precizēts dalībvalstīm noteiktais maksimālais atbalsta apmērs triju fiskālo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atbalsts primārai zvejniecībai un akvakultūrai turpmāk tiek piešķirts saskaņā ar Regulu Nr. 717/2014 un atbalsts zvejniecības un akvakultūras produktu apstrādei ar Regulu Nr. 1407/2013, kā arī, lai varētu izmantot  Regulas 2023/2391 1. panta 3. punkta b) apakšpunktā palielināto atbalsta limitu vienam vienotam uzņēmumam, ko sniedz saskaņā ar Regulas Nr. 717/2014 3. panta 2.a punktu, nepieciešams pārskatīt un atbilstoši grozīt atbalsta programmas, kurās atbalsts paredzēts saskaņā ar Regulu Nr. 717/2014.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nepieciešams atbilstoši precizēt noteikumu 19.3. apakšpunktu aizstājot Regulas Nr. 717/2014 3. panta 2. punktu ar Regulas Nr. 717/2014 3. panta 2.a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var apvienot ar citu de minimis saņemto atbalstu, nepārsniedzot Komisijas regulas Nr. 1407/2013 3. panta 2. punktā,  Komisijas regulas Nr. 1408/2013 3. panta 3. punkta "a" apakšpunktā vai Komisijas regulas Nr. 717/2014 3.panta 2.punktā noteikto maksimālo apmēru attiecīgajā fiskālajā gadā un iepriekšējos divos fiskālajos gados – apmēru viena vienota uzņēmuma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nepieciešams atbilstoši precizēt noteikumu 34.1. apakšpunktu aizstājot Regulas Nr. 717/2014 3. panta 2. punktu ar Regulas Nr. 717/2014 3. panta 2.a punktu. Skatīt komentāru pie iepriekšējā iebilduma.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Voiče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23-TA-1000</w:t>
    </w:r>
    <w:r>
      <w:br/>
    </w:r>
    <w:r w:rsidR="00000000" w:rsidRPr="00000000" w:rsidDel="00000000">
      <w:rPr>
        <w:rtl w:val="0"/>
      </w:rPr>
      <w:t xml:space="preserve">Izdrukāts 21.11.2023.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23-TA-1000</w:t>
    </w:r>
    <w:r>
      <w:br/>
    </w:r>
    <w:r w:rsidR="00000000" w:rsidRPr="00000000" w:rsidDel="00000000">
      <w:rPr>
        <w:rtl w:val="0"/>
      </w:rPr>
      <w:t xml:space="preserve">Izdrukāts 21.11.2023.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Atzinumi_23-TA-1000.docx</dc:title>
</cp:coreProperties>
</file>

<file path=docProps/custom.xml><?xml version="1.0" encoding="utf-8"?>
<Properties xmlns="http://schemas.openxmlformats.org/officeDocument/2006/custom-properties" xmlns:vt="http://schemas.openxmlformats.org/officeDocument/2006/docPropsVTypes"/>
</file>