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augusta noteikumos Nr. 531 "Noteikumi par neatkarīgu ekspertu kompetences novērtēšanu un profesionālās darbības uzraudzību ēku energoefektivitātes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anotācijā iekļautās atsauces uz Eiropas Savienības tiesību aktiem, noformējot tās atbilstoši Ministru kabineta 2009. gada 3. februāra noteikumu Nr. 108 „</w:t>
            </w:r>
            <w:r w:rsidR="00000000" w:rsidRPr="00000000" w:rsidDel="00000000">
              <w:rPr>
                <w:i w:val="1"/>
                <w:rtl w:val="0"/>
              </w:rPr>
              <w:t xml:space="preserve">Normatīvo aktu projektu sagatavošanas noteikumi</w:t>
            </w:r>
            <w:r w:rsidR="00000000" w:rsidRPr="00000000" w:rsidDel="00000000">
              <w:rPr>
                <w:rtl w:val="0"/>
              </w:rPr>
              <w:t xml:space="preserve">” (turpmāk - MK noteikumi Nr. 108) 170.-172. punktam, atsaucē uz Eiropas Savienības tiesību aktu norādot šādu informāciju: institūcija (Komisija, Padome, Eiropas Parlaments), kas izdevusi attiecīgo tiesību aktu; tiesību akta pieņemšanas datums; veids (regula, direktīva, lēmums); numurs un nosaukums atbilstoši tiesību akta nosaukumam latviešu valodā EUR-Lex datu bāzē. Piemēram, </w:t>
            </w:r>
            <w:r w:rsidR="00000000" w:rsidRPr="00000000" w:rsidDel="00000000">
              <w:rPr>
                <w:i w:val="1"/>
                <w:rtl w:val="0"/>
              </w:rPr>
              <w:t xml:space="preserve">Eiropas Parlamenta un Padomes 2024. gada 24. aprīļa Direktīva 2024/1275 par ēku energosniegumu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Valērija Ruta Hartmane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izmantot anotācijā Valsts pārvaldes iekārtas likumā minēto terminoloģiju, proti, nevis "deleģēta privātpersona", bet "privātpersona, kurai deleģēts valsts pārvaldes uzdevums".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maksas pakalpojuma cenrādi par neatkarīga eksperta kompetences novērtēšanu un profesionālās darbības uzraudzību un saņemto līdzekļu izmantošanas kārtību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1.1. apakšpunktā iekļauto noteikumu Nr. 531 1.5. apakšpunktu, lai tas atbilstu Ēku energoefektivitātes likuma 12. panta sestajā daļā paredzētajam, proti, noteiktu arī </w:t>
            </w:r>
            <w:r w:rsidR="00000000" w:rsidRPr="00000000" w:rsidDel="00000000">
              <w:rPr>
                <w:u w:val="single"/>
                <w:rtl w:val="0"/>
              </w:rPr>
              <w:t xml:space="preserve">samaksas</w:t>
            </w:r>
            <w:r w:rsidR="00000000" w:rsidRPr="00000000" w:rsidDel="00000000">
              <w:rPr>
                <w:rtl w:val="0"/>
              </w:rPr>
              <w:t xml:space="preserve"> izmantošanas kārtību. Attiecīgi lūdzam precizēt arī noteikumu Nr. 531 VI nodaļas nosaukumu.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Lulberga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25-TA-1470</w:t>
    </w:r>
    <w:r>
      <w:br/>
    </w:r>
    <w:r w:rsidR="00000000" w:rsidRPr="00000000" w:rsidDel="00000000">
      <w:rPr>
        <w:rtl w:val="0"/>
      </w:rPr>
      <w:t xml:space="preserve">Izdrukāts 08.11.2025.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25-TA-1470</w:t>
    </w:r>
    <w:r>
      <w:br/>
    </w:r>
    <w:r w:rsidR="00000000" w:rsidRPr="00000000" w:rsidDel="00000000">
      <w:rPr>
        <w:rtl w:val="0"/>
      </w:rPr>
      <w:t xml:space="preserve">Izdrukāts 08.11.2025.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