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decembra noteikumos Nr. 765 "Kārtība, kādā valsts fondēto pensiju shēmas līdzekļu pārvaldītājs aprēķina maksājumu par ieguldījumu plāna pārvaldi, un kārtība, kādā tiek veikta minētā maksājuma uzskaite un ieturēšana"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2017. gada 19. decembra noteikumos Nr. 765 "Kārtība, kādā valsts fondēto pensiju shēmas līdzekļu pārvaldītājs aprēķina maksājumu par ieguldījumu plāna pārvaldi, un kārtība, kādā tiek veikta minētā maksājuma uzskaite un ieturēšana" (Latvijas Vēstnesis, 2017, 254. nr.; 2022, 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regulējuma projekts neņem vērā izmaiņas indeksu proporcijā, aprēķinot astoņu gadu vēsturisko rezultātu (rezultāts kopš 2017. gada 31. decembra). Aprēķinot ilgāka perioda rezultātu, ir jāņem vērā izmaiņas indeksu kombinācijā.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vismaz šādus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iespēju astoņu gadu perioda atskaiti sākt no 2024. gada 31.decembra vai brīdi, kad stāsies spēkā noteikumi (pēc analoģijas, ar 2017.gada 31.decembri, kad tika mainīts salīdzinošais indekss).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piemēram, papildināt noteikumu 14.2. punktu, precizējot, ka astoņu gadu virspeļņas aprēķinā līdz datumam, kad stājas spēkā izmaiņas, tiek izmantots līdzšinējais indekss. Tādējādi nemainot indeksu tai astoņu gadu laika perioda daļai, kad bija spēkā citi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pārrunāt ar nozares dalībniekiem (kā minimums nozari pārstāvošajām asociācijām) kurš risinājums regulējuma projekta virzītājiem šķistu atbilstošāks.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mainīt pausto apsvērumu par sabiedrības līdzdalības nepiemērošanu, jo nevar izteikt pieņēmumu, ka būtu vienošanās, kas izslēgtu sabiedrības līdzdalības procesa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arī, ka neviena no nozares dalībniekus pārstāvošās asociācijām netika iekļauta MK TAP noteikumu projekta saskaņošanas gaitā, kas sākts 21.jūnijā pēc publiski pieejamās informācijas un sākotnēji MK TAP tas nosūtīts saskaņošanai tikai Tieslietu un Finanšu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akciju atskaites indeksa komponente (AAIK) – indekss, ko izmanto saliktā akciju atskaites indeksa (SAAI) aprēķinam. AAIK</w:t>
            </w:r>
            <w:r w:rsidR="00000000" w:rsidRPr="00000000" w:rsidDel="00000000">
              <w:rPr>
                <w:vertAlign w:val="subscript"/>
                <w:rtl w:val="0"/>
              </w:rPr>
              <w:t xml:space="preserve">1</w:t>
            </w:r>
            <w:r w:rsidR="00000000" w:rsidRPr="00000000" w:rsidDel="00000000">
              <w:rPr>
                <w:rtl w:val="0"/>
              </w:rPr>
              <w:t xml:space="preserve"> ir indekss </w:t>
            </w:r>
            <w:r w:rsidR="00000000" w:rsidRPr="00000000" w:rsidDel="00000000">
              <w:rPr>
                <w:i w:val="1"/>
                <w:rtl w:val="0"/>
              </w:rPr>
              <w:t xml:space="preserve">STOXX Europe 600 Net Return (SXXR Index; ISIN EU0009658210; FIGI BBG000P5N0N9)</w:t>
            </w:r>
            <w:r w:rsidR="00000000" w:rsidRPr="00000000" w:rsidDel="00000000">
              <w:rPr>
                <w:rtl w:val="0"/>
              </w:rPr>
              <w:t xml:space="preserve"> un AAIK</w:t>
            </w:r>
            <w:r w:rsidR="00000000" w:rsidRPr="00000000" w:rsidDel="00000000">
              <w:rPr>
                <w:vertAlign w:val="subscript"/>
                <w:rtl w:val="0"/>
              </w:rPr>
              <w:t xml:space="preserve">2</w:t>
            </w:r>
            <w:r w:rsidR="00000000" w:rsidRPr="00000000" w:rsidDel="00000000">
              <w:rPr>
                <w:rtl w:val="0"/>
              </w:rPr>
              <w:t xml:space="preserve"> ir indekss </w:t>
            </w:r>
            <w:r w:rsidR="00000000" w:rsidRPr="00000000" w:rsidDel="00000000">
              <w:rPr>
                <w:i w:val="1"/>
                <w:rtl w:val="0"/>
              </w:rPr>
              <w:t xml:space="preserve">MSCI ACWI Net Return EUR (NDEEWNR Index, FIGI BBG002T2YBW2)</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projektā piedāvātajā 2.6.apakšpunktā vārdus “STOXX Europe 600 Net Return (SXXR Index; ISIN EU0009658210; FIGI BBG000P5N0N9)” ar vārdiem “Bloomberg Europe DM 600 Net Return Index (EURP600N Index, FIGI BBG012CJ8N46)” un vārdus “MSCI ACWI Net Return EUR (NDEEWNR Index, FIGI BBG002T2YBW2)” ar vārdiem “Bloomberg World Large &amp; Mid Cap Net Return Index EUR (WRLDNE Index, FIGI BBG0169Q4SV8)”.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ļaus pārvaldītājiem atteikties no STOXX Ltd indeksu datu izmantošanas, kā arī nepalielinās pārvaldītāju izmaksas saistībā ar Noteikumu projektā piedāvāto MSCI Inc indeksu datu izmantošanu, atstājot tikai Bloomberg Index Services Limited indeksus maksājuma par ieguldījumu plāna pārvaldi mainīgās daļas aprēķināšanas procesā. Papildus finanšu ietaupījumam, viena indeksu datu sniedzēja datu izmantošana vienkāršos pārvaldītājiem arī operacionālos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Bloomberg Barclays Euro Aggregate Total Return Euro Unhedged indekss ir indeksu datu piegādātāja Bloomberg Index Services Limited intelektuālais īpašums. STOXX Europe 600 Net Return ir indeksu datu piegādātāja STOXX Ltd intelektuālais īpašums. Par indeksu vērtību izmantošanu savos iekšējos aprēķinos pārvaldītājiem ir jāmaksā licencēšanas maksa indeksu datu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MK noteikumu grozījumi paredz papildināt izmantojamo indeksu sarakstu ar vēl vienu indeksu – MSCI ACWI Net Return EUR, kuru sniedz indeksu datu piegādātājs MSCI Inc.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Indeksu datu piegādātāji sniedz līdzvērtīgus indeksus, kas atspoguļo noteiktus finanšu tirgus sektorus. Piemēram, STOXX Ltd piedāvātais indekss STOXX Europe 600 Net Return atspoguļo Eiropas akciju dinamiku. Tāpat, arī Bloomberg Index Services Limited piedāvātais indekss Bloomberg Europe DM 600 Net Return Index atspoguļo Eiropas akciju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pārvaldītāju izmaksu viedokļa, vairāku indeksu datu sniedzēju indeksu izmantošana nav optimāla. Optimāls risinājums ir izmantot viena indeksu datu sniedzēja datus. Bloomberg Index Services Limited ir šāds risinājums, jo šis indeksu datu sniedzējs piedāvā gan obligāciju, gan akciju indeksus, kā arī pārvaldītāji jau izmanto Bloomberg Index Services Limited indeksus.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indeksu </w:t>
            </w:r>
            <w:r w:rsidR="00000000" w:rsidRPr="00000000" w:rsidDel="00000000">
              <w:rPr>
                <w:i w:val="1"/>
                <w:rtl w:val="0"/>
              </w:rPr>
              <w:t xml:space="preserve">STOXX Europe 600 Net Return (SXXR Index; ISIN EU0009658210; FIGI BBG000P5N0N9) </w:t>
            </w:r>
            <w:r w:rsidR="00000000" w:rsidRPr="00000000" w:rsidDel="00000000">
              <w:rPr>
                <w:rtl w:val="0"/>
              </w:rPr>
              <w:t xml:space="preserve">aizstāj ar indeksu</w:t>
            </w:r>
            <w:r w:rsidR="00000000" w:rsidRPr="00000000" w:rsidDel="00000000">
              <w:rPr>
                <w:i w:val="1"/>
                <w:rtl w:val="0"/>
              </w:rPr>
              <w:t xml:space="preserve"> S&amp;P Europe 350 Net Total Return Index (SPTR350N Index, FIGI BBG002SSHQ07)</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projektā piedāvātajā 6.3. apakšpunkta grozījumu redakcijā vārdus “STOXX Europe 600 Net Return (SXXR Index; ISIN EU0009658210; FIGI BBG000P5N0N9)” ar vārdiem “Bloomberg Europe DM 600 Net Return Index (EURP600N Index, FIGI BBG012CJ8N46).”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ļaus pārvaldītājiem atteikties no STOXX Ltd indeksu datu izmantošanas, kā arī nepalielinās pārvaldītāju izmaksas saistībā ar Noteikumu projektā piedāvāto MSCI Inc indeksu datu izmantošanu, atstājot tikai Bloomberg Index Services Limited indeksus maksājuma par ieguldījumu plāna pārvaldi mainīgās daļas aprēķināšanas procesā. Papildus finanšu ietaupījumam, viena indeksu datu sniedzēja datu izmantošana vienkāršos pārvaldītājiem arī operacionālos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Bloomberg Barclays Euro Aggregate Total Return Euro Unhedged indekss ir indeksu datu piegādātāja Bloomberg Index Services Limited intelektuālais īpašums. STOXX Europe 600 Net Return ir indeksu datu piegādātāja STOXX Ltd intelektuālais īpašums. Par indeksu vērtību izmantošanu savos iekšējos aprēķinos pārvaldītājiem ir jāmaksā licencēšanas maksa indeksu datu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MK noteikumu grozījumi paredz papildināt izmantojamo indeksu sarakstu ar vēl vienu indeksu – MSCI ACWI Net Return EUR, kuru sniedz indeksu datu piegādātājs MSCI Inc.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Indeksu datu piegādātāji sniedz līdzvērtīgus indeksus, kas atspoguļo noteiktus finanšu tirgus sektorus. Piemēram, STOXX Ltd piedāvātais indekss STOXX Europe 600 Net Return atspoguļo Eiropas akciju dinamiku. Tāpat, arī Bloomberg Index Services Limited piedāvātais indekss Bloomberg Europe DM 600 Net Return Index atspoguļo Eiropas akciju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pārvaldītāju izmaksu viedokļa, vairāku indeksu datu sniedzēju indeksu izmantošana nav optimāla. Optimāls risinājums ir izmantot viena indeksu datu sniedzēja datus. Bloomberg Index Services Limited ir šāds risinājums, jo šis indeksu datu sniedzējs piedāvā gan obligāciju, gan akciju indeksus, kā arī pārvaldītāji jau izmanto Bloomberg Index Services Limited indeksus.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indeksu</w:t>
            </w:r>
            <w:r w:rsidR="00000000" w:rsidRPr="00000000" w:rsidDel="00000000">
              <w:rPr>
                <w:i w:val="1"/>
                <w:rtl w:val="0"/>
              </w:rPr>
              <w:t xml:space="preserve"> MSCI ACWI Net Return EUR (NDEEWNR Index, FIGI BBG002T2YBW2)</w:t>
            </w:r>
            <w:r w:rsidR="00000000" w:rsidRPr="00000000" w:rsidDel="00000000">
              <w:rPr>
                <w:rtl w:val="0"/>
              </w:rPr>
              <w:t xml:space="preserve"> aizstāj ar indeksu </w:t>
            </w:r>
            <w:r w:rsidR="00000000" w:rsidRPr="00000000" w:rsidDel="00000000">
              <w:rPr>
                <w:i w:val="1"/>
                <w:rtl w:val="0"/>
              </w:rPr>
              <w:t xml:space="preserve">STOXX World AC (Cap Index) – Net EUR (STXWAR Index; FIGI BBG018C66BS3; ISIN CH0462362093)</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projektā piedāvātajā 6.5. apakšpunkta redakcijā vārdus “MSCI ACWI Net Return EUR (NDEEWNR Index, FIGI BBG002T2YBW2)” ar vārdiem “Bloomberg World Large &amp; Mid Cap Net Return Index EUR (WRLDNE Index, FIGI BBG0169Q4SV8)”.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ļaus pārvaldītājiem atteikties no STOXX Ltd indeksu datu izmantošanas, kā arī nepalielinās pārvaldītāju izmaksas saistībā ar Noteikumu projektā piedāvāto MSCI Inc indeksu datu izmantošanu, atstājot tikai Bloomberg Index Services Limited indeksus maksājuma par ieguldījumu plāna pārvaldi mainīgās daļas aprēķināšanas procesā. Papildus finanšu ietaupījumam, viena indeksu datu sniedzēja datu izmantošana vienkāršos pārvaldītājiem arī operacionālos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Bloomberg Barclays Euro Aggregate Total Return Euro Unhedged indekss ir indeksu datu piegādātāja Bloomberg Index Services Limited intelektuālais īpašums. STOXX Europe 600 Net Return ir indeksu datu piegādātāja STOXX Ltd intelektuālais īpašums. Par indeksu vērtību izmantošanu savos iekšējos aprēķinos pārvaldītājiem ir jāmaksā licencēšanas maksa indeksu datu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MK noteikumu grozījumi paredz papildināt izmantojamo indeksu sarakstu ar vēl vienu indeksu – MSCI ACWI Net Return EUR, kuru sniedz indeksu datu piegādātājs MSCI Inc.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Indeksu datu piegādātāji sniedz līdzvērtīgus indeksus, kas atspoguļo noteiktus finanšu tirgus sektorus. Piemēram, STOXX Ltd piedāvātais indekss STOXX Europe 600 Net Return atspoguļo Eiropas akciju dinamiku. Tāpat, arī Bloomberg Index Services Limited piedāvātais indekss Bloomberg Europe DM 600 Net Return Index atspoguļo Eiropas akciju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pārvaldītāju izmaksu viedokļa, vairāku indeksu datu sniedzēju indeksu izmantošana nav optimāla. Optimāls risinājums ir izmantot viena indeksu datu sniedzēja datus. Bloomberg Index Services Limited ir šāds risinājums, jo šis indeksu datu sniedzējs piedāvā gan obligāciju, gan akciju indeksus, kā arī pārvaldītāji jau izmanto Bloomberg Index Services Limited indeksus.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ja gada pēdējā aprēķina dienā DV ir vienāda vai mazāka par katra gada pēdējās aprēķina dienas DV iepriekšējo septiņu gadu periodā pirms kārtējā gada, bet UMMD apmērs par kārtējo gadu ir pozitīvs,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UMMD</w:t>
            </w:r>
            <w:r w:rsidR="00000000" w:rsidRPr="00000000" w:rsidDel="00000000">
              <w:rPr>
                <w:vertAlign w:val="subscript"/>
                <w:rtl w:val="0"/>
              </w:rPr>
              <w:t xml:space="preserve">t</w:t>
            </w:r>
            <w:r w:rsidR="00000000" w:rsidRPr="00000000" w:rsidDel="00000000">
              <w:rPr>
                <w:rtl w:val="0"/>
              </w:rPr>
              <w:t xml:space="preserve"> – ieguldījumu plāna finanšu pārskatos uzskaitītās maksājuma mainīgās daļas apmērs par aprēķina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UMMD</w:t>
            </w:r>
            <w:r w:rsidR="00000000" w:rsidRPr="00000000" w:rsidDel="00000000">
              <w:rPr>
                <w:vertAlign w:val="subscript"/>
                <w:rtl w:val="0"/>
              </w:rPr>
              <w:t xml:space="preserve">K</w:t>
            </w:r>
            <w:r w:rsidR="00000000" w:rsidRPr="00000000" w:rsidDel="00000000">
              <w:rPr>
                <w:vertAlign w:val="subscript"/>
                <w:rtl w:val="0"/>
              </w:rPr>
              <w:t xml:space="preserve">,t–1</w:t>
            </w:r>
            <w:r w:rsidR="00000000" w:rsidRPr="00000000" w:rsidDel="00000000">
              <w:rPr>
                <w:rtl w:val="0"/>
              </w:rPr>
              <w:t xml:space="preserve"> – ieguldījumu plāna finanšu pārskatos uzskaitītās maksājuma mainīgās daļas apmērs par kārtējo gadu iepriekšējā aprēķina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precizēt, uzsākta septiņu gadu perioda uzskaite plāniem, kas darbību sākuši pēc 2017. 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matemātiskā aprēķina rezultāta interpretācijas iespēja ir pārāk plaša un var pastāvēt pieeja, ka tas var radīt iespēju nepamatoti piemērot pensijas plāna dalībniekam mainīgās komisijas daļu. Šāda situācija nav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virzītājam piesaistot Latvijas Banku un nozares pārstāvjus apspriest un rast risinājumu jautājumā par strauju palielinājumu aktīvos. Proti, ja ir uzkrāta mainīgā komisija, bet pārvaldītājs nevar to ņemt un tā tiek novirzīta plāna aktīvos, strauji tos palielinot gada sākumā. Šāda situācija var atstāt negatīvu efektu uz tiem shēmas dalībniekiem, kur maina savus plānus šādā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aktuālās izpildē iesaistītās Ieguldījumu pārvaldes sabiedrības. Minētā informācija par minētajām sabiedrībām, piemēram, pieejama gan Latvijas Bankas, gan Uzņēmumu reģistra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24-TA-1400</w:t>
    </w:r>
    <w:r>
      <w:br/>
    </w:r>
    <w:r w:rsidR="00000000" w:rsidRPr="00000000" w:rsidDel="00000000">
      <w:rPr>
        <w:rtl w:val="0"/>
      </w:rPr>
      <w:t xml:space="preserve">Izdrukāts 08.07.2024.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24-TA-1400</w:t>
    </w:r>
    <w:r>
      <w:br/>
    </w:r>
    <w:r w:rsidR="00000000" w:rsidRPr="00000000" w:rsidDel="00000000">
      <w:rPr>
        <w:rtl w:val="0"/>
      </w:rPr>
      <w:t xml:space="preserve">Izdrukāts 08.07.2024.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Atzinumi_24-TA-1400.docx</dc:title>
</cp:coreProperties>
</file>

<file path=docProps/custom.xml><?xml version="1.0" encoding="utf-8"?>
<Properties xmlns="http://schemas.openxmlformats.org/officeDocument/2006/custom-properties" xmlns:vt="http://schemas.openxmlformats.org/officeDocument/2006/docPropsVTypes"/>
</file>