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pPr w:leftFromText="180" w:rightFromText="180" w:vertAnchor="text" w:horzAnchor="page" w:tblpXSpec="center" w:tblpY="-178"/>
        <w:tblW w:w="9344" w:type="dxa"/>
        <w:jc w:val="center"/>
        <w:tblInd w:w="0" w:type="dxa"/>
        <w:tblBorders>
          <w:bottom w:val="single" w:sz="4" w:space="0" w:color="auto"/>
        </w:tblBorders>
        <w:tblLayout w:type="fixed"/>
        <w:tblCellMar>
          <w:top w:w="0" w:type="dxa"/>
          <w:left w:w="0" w:type="dxa"/>
          <w:bottom w:w="0" w:type="dxa"/>
          <w:right w:w="0" w:type="dxa"/>
        </w:tblCellMar>
        <w:tblLook w:val="04A0" w:firstRow="1" w:lastRow="0" w:firstColumn="1" w:lastColumn="0" w:noHBand="0" w:noVBand="1"/>
      </w:tblPr>
      <w:tblGrid>
        <w:gridCol w:w="3124"/>
        <w:gridCol w:w="6220"/>
      </w:tblGrid>
      <w:tr w:rsidR="00E11757" w:rsidRPr="00E11757" w14:paraId="0BA1DDB2" w14:textId="77777777" w:rsidTr="00682724">
        <w:tblPrEx>
          <w:tblCellMar>
            <w:top w:w="0" w:type="dxa"/>
            <w:left w:w="0" w:type="dxa"/>
            <w:bottom w:w="0" w:type="dxa"/>
            <w:right w:w="0" w:type="dxa"/>
          </w:tblCellMar>
        </w:tblPrEx>
        <w:trPr>
          <w:trHeight w:val="1264"/>
          <w:jc w:val="center"/>
        </w:trPr>
        <w:tc>
          <w:tcPr>
            <w:tcW w:w="3124" w:type="dxa"/>
            <w:tcBorders>
              <w:bottom w:val="single" w:sz="12" w:space="0" w:color="A6A6A6"/>
            </w:tcBorders>
            <w:shd w:val="clear" w:color="auto" w:fill="auto"/>
          </w:tcPr>
          <w:p w14:paraId="7276AC97" w14:textId="77777777" w:rsidR="00E11757" w:rsidRPr="00E11757" w:rsidRDefault="00E11757" w:rsidP="00682724">
            <w:pPr>
              <w:rPr>
                <w:rFonts w:ascii="Arial" w:eastAsia="Times New Roman" w:hAnsi="Arial"/>
                <w:sz w:val="24"/>
              </w:rPr>
            </w:pPr>
            <w:r w:rsidRPr="00E11757">
              <w:rPr>
                <w:rFonts w:ascii="Arial" w:eastAsia="Times New Roman" w:hAnsi="Arial"/>
                <w:noProof/>
                <w:sz w:val="24"/>
                <w:lang w:val="en-US" w:eastAsia="en-US"/>
              </w:rPr>
              <w:pict w14:anchorId="5751FD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1" type="#_x0000_t75" style="position:absolute;margin-left:0;margin-top:2.3pt;width:153pt;height:53.25pt;z-index:1;mso-wrap-edited:f;mso-position-horizontal-relative:margin" wrapcoords="17152 0 16517 304 15352 3346 15247 5171 15776 9735 -105 13994 -105 20078 14611 20991 15352 20991 18847 20078 18635 14602 19588 14298 21600 11256 21600 6388 21388 3650 19588 304 18952 0 17152 0">
                  <v:imagedata r:id="rId8" o:title="Liepajas Energija Logo CMYK"/>
                  <w10:wrap type="through" anchorx="margin"/>
                </v:shape>
              </w:pict>
            </w:r>
          </w:p>
          <w:p w14:paraId="4DC82453" w14:textId="77777777" w:rsidR="00E11757" w:rsidRPr="00E11757" w:rsidRDefault="00E11757" w:rsidP="00682724">
            <w:pPr>
              <w:ind w:firstLine="720"/>
              <w:rPr>
                <w:rFonts w:ascii="Arial" w:eastAsia="Times New Roman" w:hAnsi="Arial"/>
                <w:sz w:val="24"/>
              </w:rPr>
            </w:pPr>
          </w:p>
        </w:tc>
        <w:tc>
          <w:tcPr>
            <w:tcW w:w="6220" w:type="dxa"/>
            <w:tcBorders>
              <w:bottom w:val="single" w:sz="12" w:space="0" w:color="A6A6A6"/>
            </w:tcBorders>
            <w:shd w:val="clear" w:color="auto" w:fill="auto"/>
          </w:tcPr>
          <w:p w14:paraId="12266D94" w14:textId="77777777" w:rsidR="00E11757" w:rsidRPr="00E11757" w:rsidRDefault="00E11757" w:rsidP="00682724">
            <w:pPr>
              <w:spacing w:line="312" w:lineRule="auto"/>
              <w:jc w:val="right"/>
              <w:rPr>
                <w:rFonts w:ascii="Arial" w:hAnsi="Arial"/>
                <w:b/>
                <w:color w:val="808080"/>
                <w:sz w:val="18"/>
                <w:szCs w:val="18"/>
              </w:rPr>
            </w:pPr>
            <w:r w:rsidRPr="00E11757">
              <w:rPr>
                <w:rFonts w:ascii="Arial" w:hAnsi="Arial"/>
                <w:b/>
                <w:color w:val="808080"/>
                <w:sz w:val="18"/>
                <w:szCs w:val="18"/>
              </w:rPr>
              <w:t>SIA “Liepājas enerģija”</w:t>
            </w:r>
          </w:p>
          <w:p w14:paraId="6746900B" w14:textId="77777777" w:rsidR="00E11757" w:rsidRPr="00E11757" w:rsidRDefault="00E11757" w:rsidP="00682724">
            <w:pPr>
              <w:spacing w:line="312" w:lineRule="auto"/>
              <w:jc w:val="right"/>
              <w:rPr>
                <w:rFonts w:ascii="Arial" w:hAnsi="Arial"/>
                <w:b/>
                <w:color w:val="808080"/>
                <w:sz w:val="18"/>
                <w:szCs w:val="18"/>
              </w:rPr>
            </w:pPr>
            <w:r w:rsidRPr="00E11757">
              <w:rPr>
                <w:rFonts w:ascii="Arial" w:hAnsi="Arial"/>
                <w:color w:val="808080"/>
                <w:sz w:val="14"/>
                <w:szCs w:val="14"/>
              </w:rPr>
              <w:t>Reģistrācijas Nr. 42103035386</w:t>
            </w:r>
          </w:p>
          <w:p w14:paraId="1910E890" w14:textId="77777777" w:rsidR="00E11757" w:rsidRPr="00E11757" w:rsidRDefault="00E11757" w:rsidP="00682724">
            <w:pPr>
              <w:spacing w:line="312" w:lineRule="auto"/>
              <w:jc w:val="right"/>
              <w:rPr>
                <w:rFonts w:ascii="Arial" w:hAnsi="Arial"/>
                <w:color w:val="808080"/>
                <w:sz w:val="14"/>
                <w:szCs w:val="14"/>
              </w:rPr>
            </w:pPr>
            <w:r w:rsidRPr="00E11757">
              <w:rPr>
                <w:rFonts w:ascii="Arial" w:hAnsi="Arial"/>
                <w:color w:val="808080"/>
                <w:sz w:val="14"/>
                <w:szCs w:val="14"/>
              </w:rPr>
              <w:t>Ludviķa iela 15, Liepāja, LV-3401, Latvija</w:t>
            </w:r>
          </w:p>
          <w:p w14:paraId="38B6ABBD" w14:textId="77777777" w:rsidR="00E11757" w:rsidRPr="00E11757" w:rsidRDefault="00E11757" w:rsidP="00682724">
            <w:pPr>
              <w:spacing w:line="312" w:lineRule="auto"/>
              <w:jc w:val="right"/>
              <w:rPr>
                <w:rFonts w:ascii="Arial" w:hAnsi="Arial"/>
                <w:color w:val="808080"/>
                <w:sz w:val="14"/>
                <w:szCs w:val="14"/>
              </w:rPr>
            </w:pPr>
            <w:r w:rsidRPr="00E11757">
              <w:rPr>
                <w:rFonts w:ascii="Arial" w:hAnsi="Arial"/>
                <w:b/>
                <w:color w:val="808080"/>
                <w:sz w:val="14"/>
                <w:szCs w:val="14"/>
              </w:rPr>
              <w:t>Tālr.:</w:t>
            </w:r>
            <w:r w:rsidRPr="00E11757">
              <w:rPr>
                <w:rFonts w:ascii="Arial" w:hAnsi="Arial"/>
                <w:color w:val="808080"/>
                <w:sz w:val="14"/>
                <w:szCs w:val="14"/>
              </w:rPr>
              <w:t xml:space="preserve"> +371 63 425 904; </w:t>
            </w:r>
            <w:r w:rsidRPr="00E11757">
              <w:rPr>
                <w:rFonts w:ascii="Arial" w:hAnsi="Arial"/>
                <w:b/>
                <w:color w:val="808080"/>
                <w:sz w:val="14"/>
                <w:szCs w:val="14"/>
              </w:rPr>
              <w:t>Fakss:</w:t>
            </w:r>
            <w:r w:rsidRPr="00E11757">
              <w:rPr>
                <w:rFonts w:ascii="Arial" w:hAnsi="Arial"/>
                <w:color w:val="808080"/>
                <w:sz w:val="14"/>
                <w:szCs w:val="14"/>
              </w:rPr>
              <w:t xml:space="preserve"> +371 63 425 606</w:t>
            </w:r>
          </w:p>
          <w:p w14:paraId="52E739D1" w14:textId="77777777" w:rsidR="00E11757" w:rsidRPr="00E11757" w:rsidRDefault="00E11757" w:rsidP="00682724">
            <w:pPr>
              <w:spacing w:line="312" w:lineRule="auto"/>
              <w:jc w:val="right"/>
              <w:rPr>
                <w:rFonts w:ascii="Arial" w:eastAsia="Times New Roman" w:hAnsi="Arial"/>
                <w:sz w:val="14"/>
                <w:szCs w:val="14"/>
              </w:rPr>
            </w:pPr>
            <w:r w:rsidRPr="00E11757">
              <w:rPr>
                <w:rFonts w:ascii="Arial" w:hAnsi="Arial"/>
                <w:color w:val="808080"/>
                <w:sz w:val="14"/>
                <w:szCs w:val="14"/>
              </w:rPr>
              <w:t>info@liepajasenergija.lv, www.liepajasenergija.lv</w:t>
            </w:r>
          </w:p>
        </w:tc>
      </w:tr>
    </w:tbl>
    <w:p w14:paraId="5BC2B62D" w14:textId="77777777" w:rsidR="000E2290" w:rsidRDefault="005C5FAE" w:rsidP="000E2290">
      <w:pPr>
        <w:spacing w:line="308" w:lineRule="exact"/>
        <w:rPr>
          <w:rFonts w:ascii="Times New Roman" w:eastAsia="Times New Roman" w:hAnsi="Times New Roman"/>
        </w:rPr>
      </w:pPr>
      <w:r>
        <w:rPr>
          <w:rFonts w:ascii="Times New Roman" w:eastAsia="Times New Roman" w:hAnsi="Times New Roman"/>
        </w:rPr>
        <w:tab/>
      </w:r>
    </w:p>
    <w:p w14:paraId="57D3C53F" w14:textId="77777777" w:rsidR="005C5FAE" w:rsidRDefault="005C5FAE" w:rsidP="002A6469">
      <w:pPr>
        <w:spacing w:line="0" w:lineRule="atLeast"/>
        <w:ind w:left="1440" w:hanging="1156"/>
        <w:rPr>
          <w:rFonts w:ascii="Arial" w:eastAsia="Arial" w:hAnsi="Arial"/>
          <w:color w:val="412020"/>
        </w:rPr>
      </w:pPr>
    </w:p>
    <w:p w14:paraId="7242E71D" w14:textId="77777777" w:rsidR="000E2290" w:rsidRDefault="000E2290" w:rsidP="002A6469">
      <w:pPr>
        <w:spacing w:line="0" w:lineRule="atLeast"/>
        <w:ind w:left="1440" w:hanging="1156"/>
        <w:rPr>
          <w:rFonts w:ascii="Arial" w:eastAsia="Arial" w:hAnsi="Arial"/>
          <w:color w:val="412020"/>
        </w:rPr>
      </w:pPr>
      <w:r>
        <w:rPr>
          <w:rFonts w:ascii="Arial" w:eastAsia="Arial" w:hAnsi="Arial"/>
          <w:color w:val="412020"/>
        </w:rPr>
        <w:pict w14:anchorId="7F641555">
          <v:line id="_x0000_s1102" style="position:absolute;left:0;text-align:left;z-index:-4" from="12.8pt,11.05pt" to="102.85pt,11.05pt" o:userdrawn="t" strokecolor="#412020" strokeweight=".5pt"/>
        </w:pict>
      </w:r>
      <w:r>
        <w:rPr>
          <w:rFonts w:ascii="Arial" w:eastAsia="Arial" w:hAnsi="Arial"/>
          <w:color w:val="412020"/>
        </w:rPr>
        <w:pict w14:anchorId="3D935564">
          <v:line id="_x0000_s1103" style="position:absolute;left:0;text-align:left;z-index:-3" from="120.8pt,11.05pt" to="210.85pt,11.05pt" o:userdrawn="t" strokecolor="#412020" strokeweight=".5pt"/>
        </w:pict>
      </w:r>
      <w:r w:rsidR="00474EA5">
        <w:rPr>
          <w:rFonts w:ascii="Arial" w:eastAsia="Arial" w:hAnsi="Arial"/>
          <w:color w:val="412020"/>
        </w:rPr>
        <w:t>04.08.2022</w:t>
      </w:r>
      <w:r w:rsidR="002A6469">
        <w:rPr>
          <w:rFonts w:ascii="Arial" w:eastAsia="Arial" w:hAnsi="Arial"/>
          <w:color w:val="412020"/>
        </w:rPr>
        <w:tab/>
      </w:r>
      <w:r w:rsidR="005C5FAE">
        <w:rPr>
          <w:rFonts w:ascii="Arial" w:eastAsia="Arial" w:hAnsi="Arial"/>
          <w:color w:val="412020"/>
        </w:rPr>
        <w:tab/>
      </w:r>
      <w:r>
        <w:rPr>
          <w:rFonts w:ascii="Arial" w:eastAsia="Arial" w:hAnsi="Arial"/>
          <w:color w:val="412020"/>
        </w:rPr>
        <w:t xml:space="preserve">Nr. </w:t>
      </w:r>
      <w:r w:rsidR="00474EA5">
        <w:rPr>
          <w:rFonts w:ascii="Arial" w:eastAsia="Arial" w:hAnsi="Arial"/>
          <w:color w:val="412020"/>
        </w:rPr>
        <w:t>01.12/189</w:t>
      </w:r>
    </w:p>
    <w:p w14:paraId="0BA92C97" w14:textId="77777777" w:rsidR="000E2290" w:rsidRDefault="000E2290" w:rsidP="000E2290">
      <w:pPr>
        <w:spacing w:line="20" w:lineRule="exact"/>
        <w:rPr>
          <w:rFonts w:ascii="Times New Roman" w:eastAsia="Times New Roman" w:hAnsi="Times New Roman"/>
        </w:rPr>
      </w:pPr>
    </w:p>
    <w:p w14:paraId="74204371" w14:textId="77777777" w:rsidR="000E2290" w:rsidRPr="00474EA5" w:rsidRDefault="000E2290" w:rsidP="000E2290">
      <w:pPr>
        <w:tabs>
          <w:tab w:val="left" w:pos="2160"/>
        </w:tabs>
        <w:spacing w:before="120" w:line="0" w:lineRule="atLeast"/>
        <w:rPr>
          <w:rFonts w:ascii="Arial" w:eastAsia="Arial" w:hAnsi="Arial"/>
          <w:color w:val="412020"/>
          <w:sz w:val="22"/>
          <w:szCs w:val="22"/>
        </w:rPr>
      </w:pPr>
      <w:r>
        <w:rPr>
          <w:rFonts w:ascii="Arial" w:eastAsia="Arial" w:hAnsi="Arial"/>
          <w:color w:val="412020"/>
        </w:rPr>
        <w:pict w14:anchorId="583FAC60">
          <v:line id="_x0000_s1104" style="position:absolute;z-index:-2" from="120.8pt,17.15pt" to="210.85pt,17.15pt" o:userdrawn="t" strokecolor="#412020" strokeweight=".5pt"/>
        </w:pict>
      </w:r>
      <w:r>
        <w:rPr>
          <w:rFonts w:ascii="Times New Roman" w:eastAsia="Times New Roman" w:hAnsi="Times New Roman"/>
        </w:rPr>
        <w:t xml:space="preserve">     </w:t>
      </w:r>
      <w:r w:rsidRPr="00D165A1">
        <w:rPr>
          <w:rFonts w:ascii="Arial" w:eastAsia="Arial" w:hAnsi="Arial"/>
          <w:color w:val="412020"/>
        </w:rPr>
        <w:t>Uz</w:t>
      </w:r>
      <w:r>
        <w:rPr>
          <w:rFonts w:ascii="Times New Roman" w:eastAsia="Times New Roman" w:hAnsi="Times New Roman"/>
        </w:rPr>
        <w:tab/>
      </w:r>
      <w:r>
        <w:rPr>
          <w:rFonts w:ascii="Arial" w:eastAsia="Arial" w:hAnsi="Arial"/>
          <w:color w:val="412020"/>
        </w:rPr>
        <w:t xml:space="preserve">Nr. </w:t>
      </w:r>
    </w:p>
    <w:p w14:paraId="14C834CC" w14:textId="77777777" w:rsidR="000E2290" w:rsidRPr="00474EA5" w:rsidRDefault="000E2290" w:rsidP="000E2290">
      <w:pPr>
        <w:spacing w:line="20" w:lineRule="exact"/>
        <w:rPr>
          <w:rFonts w:ascii="Times New Roman" w:eastAsia="Times New Roman" w:hAnsi="Times New Roman"/>
          <w:sz w:val="22"/>
          <w:szCs w:val="22"/>
        </w:rPr>
      </w:pPr>
      <w:r w:rsidRPr="00474EA5">
        <w:rPr>
          <w:rFonts w:ascii="Arial" w:eastAsia="Arial" w:hAnsi="Arial"/>
          <w:color w:val="412020"/>
          <w:sz w:val="22"/>
          <w:szCs w:val="22"/>
        </w:rPr>
        <w:pict w14:anchorId="1DC4D0EB">
          <v:line id="_x0000_s1105" style="position:absolute;z-index:-1" from="12.8pt,-.25pt" to="102.85pt,-.25pt" o:userdrawn="t" strokecolor="#412020" strokeweight=".5pt"/>
        </w:pict>
      </w:r>
    </w:p>
    <w:p w14:paraId="5F9E3B91" w14:textId="77777777" w:rsidR="00474EA5" w:rsidRPr="00474EA5" w:rsidRDefault="00474EA5" w:rsidP="00474EA5">
      <w:pPr>
        <w:ind w:left="720" w:firstLine="720"/>
        <w:jc w:val="right"/>
        <w:rPr>
          <w:b/>
          <w:bCs/>
          <w:sz w:val="22"/>
          <w:szCs w:val="22"/>
        </w:rPr>
      </w:pPr>
      <w:r w:rsidRPr="00474EA5">
        <w:rPr>
          <w:b/>
          <w:bCs/>
          <w:sz w:val="22"/>
          <w:szCs w:val="22"/>
        </w:rPr>
        <w:t xml:space="preserve">         </w:t>
      </w:r>
      <w:r>
        <w:rPr>
          <w:b/>
          <w:bCs/>
          <w:sz w:val="22"/>
          <w:szCs w:val="22"/>
        </w:rPr>
        <w:tab/>
      </w:r>
      <w:r w:rsidRPr="00474EA5">
        <w:rPr>
          <w:b/>
          <w:bCs/>
          <w:sz w:val="22"/>
          <w:szCs w:val="22"/>
        </w:rPr>
        <w:t xml:space="preserve"> Ekonomikas ministrijai</w:t>
      </w:r>
      <w:r w:rsidRPr="00474EA5">
        <w:rPr>
          <w:b/>
          <w:bCs/>
          <w:sz w:val="22"/>
          <w:szCs w:val="22"/>
        </w:rPr>
        <w:tab/>
      </w:r>
    </w:p>
    <w:p w14:paraId="54601220" w14:textId="77777777" w:rsidR="00474EA5" w:rsidRPr="00474EA5" w:rsidRDefault="00474EA5" w:rsidP="00474EA5">
      <w:pPr>
        <w:jc w:val="right"/>
        <w:rPr>
          <w:b/>
          <w:bCs/>
          <w:sz w:val="22"/>
          <w:szCs w:val="22"/>
        </w:rPr>
      </w:pPr>
      <w:r w:rsidRPr="00474EA5">
        <w:rPr>
          <w:b/>
          <w:bCs/>
          <w:sz w:val="22"/>
          <w:szCs w:val="22"/>
        </w:rPr>
        <w:t>Brīvības iela 55, Rīga, LV-1519</w:t>
      </w:r>
    </w:p>
    <w:p w14:paraId="04A43769" w14:textId="77777777" w:rsidR="00474EA5" w:rsidRPr="00474EA5" w:rsidRDefault="00474EA5" w:rsidP="00474EA5">
      <w:pPr>
        <w:jc w:val="right"/>
        <w:rPr>
          <w:b/>
          <w:bCs/>
          <w:sz w:val="22"/>
          <w:szCs w:val="22"/>
        </w:rPr>
      </w:pPr>
      <w:hyperlink r:id="rId9" w:history="1">
        <w:r w:rsidRPr="00474EA5">
          <w:rPr>
            <w:rStyle w:val="Hyperlink"/>
            <w:b/>
            <w:bCs/>
            <w:sz w:val="22"/>
            <w:szCs w:val="22"/>
          </w:rPr>
          <w:t>pasts@em.gov.lv</w:t>
        </w:r>
      </w:hyperlink>
      <w:r w:rsidRPr="00474EA5">
        <w:rPr>
          <w:b/>
          <w:bCs/>
          <w:sz w:val="22"/>
          <w:szCs w:val="22"/>
        </w:rPr>
        <w:t xml:space="preserve"> </w:t>
      </w:r>
    </w:p>
    <w:p w14:paraId="2AEE6C32" w14:textId="77777777" w:rsidR="00474EA5" w:rsidRPr="00474EA5" w:rsidRDefault="00474EA5" w:rsidP="00474EA5">
      <w:pPr>
        <w:rPr>
          <w:sz w:val="22"/>
          <w:szCs w:val="22"/>
        </w:rPr>
      </w:pPr>
    </w:p>
    <w:p w14:paraId="17B984B8" w14:textId="77777777" w:rsidR="00474EA5" w:rsidRPr="00474EA5" w:rsidRDefault="00474EA5" w:rsidP="00474EA5">
      <w:pPr>
        <w:rPr>
          <w:i/>
          <w:iCs/>
          <w:sz w:val="22"/>
          <w:szCs w:val="22"/>
        </w:rPr>
      </w:pPr>
      <w:r w:rsidRPr="00474EA5">
        <w:rPr>
          <w:i/>
          <w:iCs/>
          <w:sz w:val="22"/>
          <w:szCs w:val="22"/>
        </w:rPr>
        <w:t>Par grozījumiem Ministru kabineta 2008. gada 21.oktobra noteikumos</w:t>
      </w:r>
      <w:r w:rsidRPr="00474EA5">
        <w:rPr>
          <w:i/>
          <w:iCs/>
          <w:sz w:val="22"/>
          <w:szCs w:val="22"/>
        </w:rPr>
        <w:br/>
        <w:t>Nr.876 “Siltumenerģijas piegādes un lietošanas noteikumi”</w:t>
      </w:r>
    </w:p>
    <w:p w14:paraId="4325566B" w14:textId="77777777" w:rsidR="00474EA5" w:rsidRPr="00474EA5" w:rsidRDefault="00474EA5" w:rsidP="00474EA5">
      <w:pPr>
        <w:rPr>
          <w:i/>
          <w:iCs/>
          <w:sz w:val="22"/>
          <w:szCs w:val="22"/>
        </w:rPr>
      </w:pPr>
    </w:p>
    <w:p w14:paraId="0A711CF8" w14:textId="77777777" w:rsidR="00474EA5" w:rsidRPr="00474EA5" w:rsidRDefault="00474EA5" w:rsidP="00474EA5">
      <w:pPr>
        <w:jc w:val="both"/>
        <w:rPr>
          <w:sz w:val="22"/>
          <w:szCs w:val="22"/>
        </w:rPr>
      </w:pPr>
      <w:r w:rsidRPr="00474EA5">
        <w:rPr>
          <w:sz w:val="22"/>
          <w:szCs w:val="22"/>
        </w:rPr>
        <w:tab/>
        <w:t>SIA “Liepājas enerģija” ir izskatījusi Ekonomikas ministrijas piedāvāto grozījumu projektu (turpmāk – Grozījumu projekts) 2008.gada 21.oktobra Ministru kabineta noteikumos Nr.876 “Siltumenerģijas piegādes un lietošanas noteikumi” (turpmāk – Noteikumi) un sniedz šādus priekšlikumus izmaiņām Grozījumu projektā:</w:t>
      </w:r>
    </w:p>
    <w:p w14:paraId="3070FE42" w14:textId="77777777" w:rsidR="00474EA5" w:rsidRPr="00474EA5" w:rsidRDefault="00474EA5" w:rsidP="00474EA5">
      <w:pPr>
        <w:pStyle w:val="Default"/>
        <w:jc w:val="both"/>
        <w:rPr>
          <w:rFonts w:ascii="Calibri" w:hAnsi="Calibri" w:cs="Calibri"/>
          <w:iCs/>
          <w:color w:val="auto"/>
          <w:sz w:val="22"/>
          <w:szCs w:val="22"/>
        </w:rPr>
      </w:pPr>
      <w:r w:rsidRPr="00474EA5">
        <w:rPr>
          <w:rFonts w:ascii="Calibri" w:hAnsi="Calibri" w:cs="Calibri"/>
          <w:iCs/>
          <w:color w:val="auto"/>
          <w:sz w:val="22"/>
          <w:szCs w:val="22"/>
        </w:rPr>
        <w:t xml:space="preserve">Grozījumu projekta 1.10. punktā paredzēts noteikt papildu prasības [..] </w:t>
      </w:r>
      <w:r w:rsidRPr="00474EA5">
        <w:rPr>
          <w:rFonts w:ascii="Calibri" w:hAnsi="Calibri" w:cs="Calibri"/>
          <w:i/>
          <w:color w:val="auto"/>
          <w:sz w:val="22"/>
          <w:szCs w:val="22"/>
        </w:rPr>
        <w:t>piegādātāja siltumenerģijas skaitītājiem</w:t>
      </w:r>
      <w:r w:rsidRPr="00474EA5">
        <w:rPr>
          <w:rFonts w:ascii="Calibri" w:hAnsi="Calibri" w:cs="Calibri"/>
          <w:iCs/>
          <w:color w:val="auto"/>
          <w:sz w:val="22"/>
          <w:szCs w:val="22"/>
        </w:rPr>
        <w:t>[..]. Savukārt Grozījumu projekta 1.6., 1.9. un 1.11. punktu redakcijās ir minēti [..] siltumenerģijas skaitītāji [..], kas, atbilstoši punktu redakcijām, ir ēkas iekšienē uzstādītie skaitītāji un tiem noteiktās prasības nav attiecināmas uz piegādātāja siltumenerģijas skaitītājiem. Lai novērstu iespējamās neskaidrības noteikumu piemērošanā, jaucot piegādātāja skaitītāju, kas uzskaita visas ēkas siltumenerģijas patēriņu, ar individuālajiem skaitītājiem, kas uzskaita atsevišķu telpu vai telpu grupu siltumenerģijas patēriņu ēkā, LSUA aicina 1.6., 1.9. un 1.11. punktā terminam “siltumenerģijas skaitītājs” priekšā pievienot vārdu “individuālais”, tādejādi attiecinot šo punktu prasības uz “individuālajiem siltumenerģijas skaitītājiem”.</w:t>
      </w:r>
    </w:p>
    <w:p w14:paraId="79D6EB3C" w14:textId="77777777" w:rsidR="00474EA5" w:rsidRPr="00474EA5" w:rsidRDefault="00474EA5" w:rsidP="00474EA5">
      <w:pPr>
        <w:pStyle w:val="Default"/>
        <w:jc w:val="both"/>
        <w:rPr>
          <w:rFonts w:ascii="Calibri" w:hAnsi="Calibri" w:cs="Calibri"/>
          <w:iCs/>
          <w:color w:val="auto"/>
          <w:sz w:val="22"/>
          <w:szCs w:val="22"/>
        </w:rPr>
      </w:pPr>
    </w:p>
    <w:p w14:paraId="450B6504" w14:textId="77777777" w:rsidR="00474EA5" w:rsidRPr="00474EA5" w:rsidRDefault="00474EA5" w:rsidP="00474EA5">
      <w:pPr>
        <w:pStyle w:val="Default"/>
        <w:jc w:val="both"/>
        <w:rPr>
          <w:rFonts w:ascii="Calibri" w:hAnsi="Calibri" w:cs="Calibri"/>
          <w:iCs/>
          <w:color w:val="auto"/>
          <w:sz w:val="22"/>
          <w:szCs w:val="22"/>
        </w:rPr>
      </w:pPr>
      <w:r w:rsidRPr="00474EA5">
        <w:rPr>
          <w:rFonts w:ascii="Calibri" w:hAnsi="Calibri" w:cs="Calibri"/>
          <w:iCs/>
          <w:color w:val="auto"/>
          <w:sz w:val="22"/>
          <w:szCs w:val="22"/>
        </w:rPr>
        <w:t>SIA “Liepājas enerģija” neatbalsta Grozījumu projekta 1.13 punktā paredzētās izmaiņas Ministru kabineta Noteikumu 26.10 punktā, kas atļauj lietotājiem par saņemtajiem siltumenerģijas apgādes pakalpojumiem pēdējo 12 mēnešu periodā norēķināties tikai 80% apmērā. Lai spētu norēķināties ar kurināmā piegādātājiem, Piegādātājam ir ļoti būtiski, lai rēķini par piegādāto siltumenerģiju tiek samaksāti pilnā apmērā. Šķeldas un dabasgāzes piegādātājiem Noteikumi un tajos iestrādātā atļauja siltumenerģijas saņēmējam neveikt rēķina apmaksu pilnā apmērā nav saistoša un tā nav attiecināma uz kurināmā piegādes līgumiem, tādēļ nedrīkst leģitimēt daļējus norēķinus par pilnā apmērā piegādātu preci.  Laikā, kad energoresursu cenas strauji pieaug, šāda Noteikumu redakcija ne tikai pasliktinās centralizētās siltumapgādes uzņēmumu likviditāti, bet arī radīs papildus draudus uzņēmumu maksātspējai.</w:t>
      </w:r>
    </w:p>
    <w:p w14:paraId="612F2CFB" w14:textId="77777777" w:rsidR="00474EA5" w:rsidRPr="00474EA5" w:rsidRDefault="00474EA5" w:rsidP="00474EA5">
      <w:pPr>
        <w:pStyle w:val="Default"/>
        <w:jc w:val="both"/>
        <w:rPr>
          <w:rFonts w:ascii="Calibri" w:hAnsi="Calibri" w:cs="Calibri"/>
          <w:iCs/>
          <w:color w:val="auto"/>
          <w:sz w:val="22"/>
          <w:szCs w:val="22"/>
        </w:rPr>
      </w:pPr>
    </w:p>
    <w:p w14:paraId="69DD93EA" w14:textId="77777777" w:rsidR="00474EA5" w:rsidRPr="00474EA5" w:rsidRDefault="00474EA5" w:rsidP="00474EA5">
      <w:pPr>
        <w:pStyle w:val="Default"/>
        <w:jc w:val="both"/>
        <w:rPr>
          <w:rFonts w:ascii="Calibri" w:hAnsi="Calibri" w:cs="Calibri"/>
          <w:iCs/>
          <w:color w:val="auto"/>
          <w:sz w:val="22"/>
          <w:szCs w:val="22"/>
        </w:rPr>
      </w:pPr>
      <w:r w:rsidRPr="00474EA5">
        <w:rPr>
          <w:rFonts w:ascii="Calibri" w:hAnsi="Calibri" w:cs="Calibri"/>
          <w:iCs/>
          <w:color w:val="auto"/>
          <w:sz w:val="22"/>
          <w:szCs w:val="22"/>
        </w:rPr>
        <w:t xml:space="preserve">SIA “Liepājas enerģija” aicina svītrot Grozījumu projekta 1.14. punktu, kas paredz iespēju zaudējumus, kas centralizētās siltumapgādes uzņēmumam radušies Noteikumu 26.10.punkta izpildes rezultātā, iekļaut siltumenerģijas gala tarifā kā neparedzētas izmaksas vai ieņēmumus. Norādām, ka tarifi tiek aprēķināti atbilstoši SPRK 2010.gada 14.aprīļa padomes lēmuma Nr.1/7 “Siltumenerģijas apgādes pakalpojumu tarifu aprēķināšanas metodika”” (turpmāk - Metodika) prasībām, un tās spēkā esošā redakcija nepieļauj parādu par piegādāto pakalpojumu iekļaušanu tarifā. Secīgi pirms šāda grozījuma veikšanas Noteikumos ir nepieciešams veikt atbilstošas izmaiņas Metodikā. </w:t>
      </w:r>
    </w:p>
    <w:p w14:paraId="74806613" w14:textId="77777777" w:rsidR="00474EA5" w:rsidRPr="00474EA5" w:rsidRDefault="00474EA5" w:rsidP="00474EA5">
      <w:pPr>
        <w:pStyle w:val="Default"/>
        <w:jc w:val="both"/>
        <w:rPr>
          <w:rFonts w:ascii="Calibri" w:hAnsi="Calibri" w:cs="Calibri"/>
          <w:iCs/>
          <w:color w:val="auto"/>
          <w:sz w:val="22"/>
          <w:szCs w:val="22"/>
        </w:rPr>
      </w:pPr>
    </w:p>
    <w:p w14:paraId="7CD8E095" w14:textId="77777777" w:rsidR="00474EA5" w:rsidRPr="00474EA5" w:rsidRDefault="00474EA5" w:rsidP="00474EA5">
      <w:pPr>
        <w:jc w:val="both"/>
        <w:rPr>
          <w:sz w:val="22"/>
          <w:szCs w:val="22"/>
        </w:rPr>
      </w:pPr>
    </w:p>
    <w:p w14:paraId="272CB3BC" w14:textId="77777777" w:rsidR="00474EA5" w:rsidRPr="00474EA5" w:rsidRDefault="00474EA5" w:rsidP="00474EA5">
      <w:pPr>
        <w:rPr>
          <w:b/>
          <w:bCs/>
          <w:sz w:val="22"/>
          <w:szCs w:val="22"/>
        </w:rPr>
      </w:pPr>
      <w:r w:rsidRPr="00474EA5">
        <w:rPr>
          <w:sz w:val="22"/>
          <w:szCs w:val="22"/>
        </w:rPr>
        <w:t xml:space="preserve">Valdes priekšsēdētāja vietnieks </w:t>
      </w:r>
      <w:r w:rsidRPr="00474EA5">
        <w:rPr>
          <w:sz w:val="22"/>
          <w:szCs w:val="22"/>
        </w:rPr>
        <w:tab/>
      </w:r>
      <w:r w:rsidRPr="00474EA5">
        <w:rPr>
          <w:sz w:val="22"/>
          <w:szCs w:val="22"/>
        </w:rPr>
        <w:tab/>
      </w:r>
      <w:r w:rsidRPr="00474EA5">
        <w:rPr>
          <w:sz w:val="22"/>
          <w:szCs w:val="22"/>
        </w:rPr>
        <w:tab/>
      </w:r>
      <w:r w:rsidRPr="00474EA5">
        <w:rPr>
          <w:sz w:val="22"/>
          <w:szCs w:val="22"/>
        </w:rPr>
        <w:tab/>
      </w:r>
      <w:r w:rsidRPr="00474EA5">
        <w:rPr>
          <w:sz w:val="22"/>
          <w:szCs w:val="22"/>
        </w:rPr>
        <w:tab/>
      </w:r>
      <w:r w:rsidRPr="00474EA5">
        <w:rPr>
          <w:sz w:val="22"/>
          <w:szCs w:val="22"/>
        </w:rPr>
        <w:tab/>
      </w:r>
      <w:r w:rsidRPr="00474EA5">
        <w:rPr>
          <w:sz w:val="22"/>
          <w:szCs w:val="22"/>
        </w:rPr>
        <w:tab/>
      </w:r>
      <w:proofErr w:type="spellStart"/>
      <w:r w:rsidRPr="00474EA5">
        <w:rPr>
          <w:b/>
          <w:bCs/>
          <w:sz w:val="22"/>
          <w:szCs w:val="22"/>
        </w:rPr>
        <w:t>J.Bērziņš</w:t>
      </w:r>
      <w:proofErr w:type="spellEnd"/>
    </w:p>
    <w:p w14:paraId="78F7F3A8" w14:textId="77777777" w:rsidR="00474EA5" w:rsidRPr="00474EA5" w:rsidRDefault="00474EA5" w:rsidP="00474EA5">
      <w:pPr>
        <w:rPr>
          <w:sz w:val="22"/>
          <w:szCs w:val="22"/>
        </w:rPr>
      </w:pPr>
    </w:p>
    <w:p w14:paraId="5B4B755B" w14:textId="77777777" w:rsidR="00474EA5" w:rsidRPr="00474EA5" w:rsidRDefault="00474EA5" w:rsidP="00474EA5">
      <w:pPr>
        <w:rPr>
          <w:sz w:val="22"/>
          <w:szCs w:val="22"/>
        </w:rPr>
      </w:pPr>
      <w:r w:rsidRPr="00474EA5">
        <w:rPr>
          <w:sz w:val="22"/>
          <w:szCs w:val="22"/>
        </w:rPr>
        <w:t>Valdes loceklis</w:t>
      </w:r>
      <w:r w:rsidRPr="00474EA5">
        <w:rPr>
          <w:sz w:val="22"/>
          <w:szCs w:val="22"/>
        </w:rPr>
        <w:tab/>
      </w:r>
      <w:r w:rsidRPr="00474EA5">
        <w:rPr>
          <w:sz w:val="22"/>
          <w:szCs w:val="22"/>
        </w:rPr>
        <w:tab/>
      </w:r>
      <w:r w:rsidRPr="00474EA5">
        <w:rPr>
          <w:sz w:val="22"/>
          <w:szCs w:val="22"/>
        </w:rPr>
        <w:tab/>
      </w:r>
      <w:r w:rsidRPr="00474EA5">
        <w:rPr>
          <w:sz w:val="22"/>
          <w:szCs w:val="22"/>
        </w:rPr>
        <w:tab/>
      </w:r>
      <w:r w:rsidRPr="00474EA5">
        <w:rPr>
          <w:sz w:val="22"/>
          <w:szCs w:val="22"/>
        </w:rPr>
        <w:tab/>
      </w:r>
      <w:r w:rsidRPr="00474EA5">
        <w:rPr>
          <w:sz w:val="22"/>
          <w:szCs w:val="22"/>
        </w:rPr>
        <w:tab/>
      </w:r>
      <w:r w:rsidRPr="00474EA5">
        <w:rPr>
          <w:sz w:val="22"/>
          <w:szCs w:val="22"/>
        </w:rPr>
        <w:tab/>
      </w:r>
      <w:r w:rsidRPr="00474EA5">
        <w:rPr>
          <w:sz w:val="22"/>
          <w:szCs w:val="22"/>
        </w:rPr>
        <w:tab/>
      </w:r>
      <w:r w:rsidRPr="00474EA5">
        <w:rPr>
          <w:sz w:val="22"/>
          <w:szCs w:val="22"/>
        </w:rPr>
        <w:tab/>
      </w:r>
      <w:proofErr w:type="spellStart"/>
      <w:r w:rsidRPr="00474EA5">
        <w:rPr>
          <w:b/>
          <w:bCs/>
          <w:sz w:val="22"/>
          <w:szCs w:val="22"/>
        </w:rPr>
        <w:t>A.Štāls</w:t>
      </w:r>
      <w:proofErr w:type="spellEnd"/>
    </w:p>
    <w:p w14:paraId="78E211AD" w14:textId="77777777" w:rsidR="00474EA5" w:rsidRPr="00474EA5" w:rsidRDefault="00474EA5" w:rsidP="00474EA5">
      <w:pPr>
        <w:rPr>
          <w:sz w:val="22"/>
          <w:szCs w:val="22"/>
        </w:rPr>
      </w:pPr>
    </w:p>
    <w:p w14:paraId="13CD1016" w14:textId="77777777" w:rsidR="00474EA5" w:rsidRPr="00474EA5" w:rsidRDefault="00474EA5" w:rsidP="00474EA5">
      <w:pPr>
        <w:rPr>
          <w:sz w:val="22"/>
          <w:szCs w:val="22"/>
        </w:rPr>
      </w:pPr>
      <w:proofErr w:type="spellStart"/>
      <w:r w:rsidRPr="00474EA5">
        <w:rPr>
          <w:sz w:val="22"/>
          <w:szCs w:val="22"/>
        </w:rPr>
        <w:t>I.Okuņeva</w:t>
      </w:r>
      <w:proofErr w:type="spellEnd"/>
    </w:p>
    <w:p w14:paraId="3CEEE7BF" w14:textId="77777777" w:rsidR="00474EA5" w:rsidRPr="00474EA5" w:rsidRDefault="00474EA5" w:rsidP="00474EA5">
      <w:pPr>
        <w:rPr>
          <w:sz w:val="22"/>
          <w:szCs w:val="22"/>
        </w:rPr>
      </w:pPr>
      <w:r w:rsidRPr="00474EA5">
        <w:rPr>
          <w:sz w:val="22"/>
          <w:szCs w:val="22"/>
        </w:rPr>
        <w:t>63425675</w:t>
      </w:r>
    </w:p>
    <w:p w14:paraId="343D565D" w14:textId="77777777" w:rsidR="00474EA5" w:rsidRPr="00474EA5" w:rsidRDefault="00474EA5" w:rsidP="00474EA5">
      <w:pPr>
        <w:rPr>
          <w:sz w:val="22"/>
          <w:szCs w:val="22"/>
        </w:rPr>
      </w:pPr>
    </w:p>
    <w:p w14:paraId="30270EAB" w14:textId="77777777" w:rsidR="00474EA5" w:rsidRPr="00474EA5" w:rsidRDefault="00474EA5" w:rsidP="00474EA5">
      <w:pPr>
        <w:rPr>
          <w:sz w:val="22"/>
          <w:szCs w:val="22"/>
        </w:rPr>
      </w:pPr>
    </w:p>
    <w:p w14:paraId="656A8AA3" w14:textId="77777777" w:rsidR="00474EA5" w:rsidRPr="00474EA5" w:rsidRDefault="00474EA5" w:rsidP="00474EA5">
      <w:pPr>
        <w:rPr>
          <w:sz w:val="22"/>
          <w:szCs w:val="22"/>
        </w:rPr>
      </w:pPr>
      <w:r w:rsidRPr="00474EA5">
        <w:rPr>
          <w:sz w:val="22"/>
          <w:szCs w:val="22"/>
        </w:rPr>
        <w:t>DOKUMENTS IR PARAKSTĪTS AR DROŠU ELEKTRONISKO PARAKSTU UN SATUR LAIKA ZĪMOGU</w:t>
      </w:r>
    </w:p>
    <w:p w14:paraId="43558B39" w14:textId="77777777" w:rsidR="00474EA5" w:rsidRPr="00474EA5" w:rsidRDefault="00474EA5" w:rsidP="00474EA5">
      <w:pPr>
        <w:rPr>
          <w:sz w:val="22"/>
          <w:szCs w:val="22"/>
        </w:rPr>
      </w:pPr>
    </w:p>
    <w:p w14:paraId="43CAD4C9" w14:textId="77777777" w:rsidR="000E2290" w:rsidRPr="00474EA5" w:rsidRDefault="000E2290" w:rsidP="000E2290">
      <w:pPr>
        <w:spacing w:line="20" w:lineRule="exact"/>
        <w:rPr>
          <w:rFonts w:ascii="Times New Roman" w:eastAsia="Times New Roman" w:hAnsi="Times New Roman"/>
          <w:sz w:val="22"/>
          <w:szCs w:val="22"/>
        </w:rPr>
      </w:pPr>
    </w:p>
    <w:sectPr w:rsidR="000E2290" w:rsidRPr="00474EA5" w:rsidSect="00474EA5">
      <w:pgSz w:w="11900" w:h="16838"/>
      <w:pgMar w:top="568" w:right="1126" w:bottom="142" w:left="1440" w:header="0" w:footer="0" w:gutter="0"/>
      <w:cols w:space="0" w:equalWidth="0">
        <w:col w:w="93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63952" w14:textId="77777777" w:rsidR="00B62F69" w:rsidRDefault="00B62F69" w:rsidP="00DD02DC">
      <w:r>
        <w:separator/>
      </w:r>
    </w:p>
  </w:endnote>
  <w:endnote w:type="continuationSeparator" w:id="0">
    <w:p w14:paraId="65588D64" w14:textId="77777777" w:rsidR="00B62F69" w:rsidRDefault="00B62F69" w:rsidP="00DD0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840CF" w14:textId="77777777" w:rsidR="00B62F69" w:rsidRDefault="00B62F69" w:rsidP="00DD02DC">
      <w:r>
        <w:separator/>
      </w:r>
    </w:p>
  </w:footnote>
  <w:footnote w:type="continuationSeparator" w:id="0">
    <w:p w14:paraId="1CC56FED" w14:textId="77777777" w:rsidR="00B62F69" w:rsidRDefault="00B62F69" w:rsidP="00DD0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43A8C6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02FCC"/>
    <w:rsid w:val="00051B3B"/>
    <w:rsid w:val="000A413C"/>
    <w:rsid w:val="000E2290"/>
    <w:rsid w:val="001B4C96"/>
    <w:rsid w:val="0026765B"/>
    <w:rsid w:val="002A6469"/>
    <w:rsid w:val="00384988"/>
    <w:rsid w:val="00406352"/>
    <w:rsid w:val="004209B2"/>
    <w:rsid w:val="00474EA5"/>
    <w:rsid w:val="005030FB"/>
    <w:rsid w:val="0059202A"/>
    <w:rsid w:val="005C5FAE"/>
    <w:rsid w:val="005D75DC"/>
    <w:rsid w:val="00650DF7"/>
    <w:rsid w:val="00682724"/>
    <w:rsid w:val="006F0C34"/>
    <w:rsid w:val="006F7CF5"/>
    <w:rsid w:val="007600B0"/>
    <w:rsid w:val="00802FCC"/>
    <w:rsid w:val="00833C86"/>
    <w:rsid w:val="00835D10"/>
    <w:rsid w:val="008647CB"/>
    <w:rsid w:val="008D1D97"/>
    <w:rsid w:val="0092474D"/>
    <w:rsid w:val="0099495E"/>
    <w:rsid w:val="00A53CFB"/>
    <w:rsid w:val="00AE2682"/>
    <w:rsid w:val="00AF6331"/>
    <w:rsid w:val="00B3476A"/>
    <w:rsid w:val="00B62F69"/>
    <w:rsid w:val="00CD3CC5"/>
    <w:rsid w:val="00D165A1"/>
    <w:rsid w:val="00DD02DC"/>
    <w:rsid w:val="00E11757"/>
    <w:rsid w:val="00FA2E51"/>
    <w:rsid w:val="00FB27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EFB133"/>
  <w15:chartTrackingRefBased/>
  <w15:docId w15:val="{40B5C4C2-F531-45A8-A246-1FF081119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051B3B"/>
    <w:pPr>
      <w:spacing w:before="100" w:beforeAutospacing="1" w:after="100" w:afterAutospacing="1"/>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CellMar>
        <w:top w:w="0" w:type="dxa"/>
        <w:left w:w="0" w:type="dxa"/>
        <w:bottom w:w="0" w:type="dxa"/>
        <w:right w:w="0"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2DC"/>
    <w:pPr>
      <w:tabs>
        <w:tab w:val="center" w:pos="4153"/>
        <w:tab w:val="right" w:pos="8306"/>
      </w:tabs>
    </w:pPr>
  </w:style>
  <w:style w:type="character" w:customStyle="1" w:styleId="HeaderChar">
    <w:name w:val="Header Char"/>
    <w:basedOn w:val="DefaultParagraphFont"/>
    <w:link w:val="Header"/>
    <w:uiPriority w:val="99"/>
    <w:rsid w:val="00DD02DC"/>
  </w:style>
  <w:style w:type="paragraph" w:styleId="Footer">
    <w:name w:val="footer"/>
    <w:basedOn w:val="Normal"/>
    <w:link w:val="FooterChar"/>
    <w:uiPriority w:val="99"/>
    <w:unhideWhenUsed/>
    <w:rsid w:val="00DD02DC"/>
    <w:pPr>
      <w:tabs>
        <w:tab w:val="center" w:pos="4153"/>
        <w:tab w:val="right" w:pos="8306"/>
      </w:tabs>
    </w:pPr>
  </w:style>
  <w:style w:type="character" w:customStyle="1" w:styleId="FooterChar">
    <w:name w:val="Footer Char"/>
    <w:basedOn w:val="DefaultParagraphFont"/>
    <w:link w:val="Footer"/>
    <w:uiPriority w:val="99"/>
    <w:rsid w:val="00DD02DC"/>
  </w:style>
  <w:style w:type="paragraph" w:styleId="BalloonText">
    <w:name w:val="Balloon Text"/>
    <w:basedOn w:val="Normal"/>
    <w:link w:val="BalloonTextChar"/>
    <w:uiPriority w:val="99"/>
    <w:semiHidden/>
    <w:unhideWhenUsed/>
    <w:rsid w:val="007600B0"/>
    <w:rPr>
      <w:rFonts w:ascii="Segoe UI" w:hAnsi="Segoe UI" w:cs="Segoe UI"/>
      <w:sz w:val="18"/>
      <w:szCs w:val="18"/>
    </w:rPr>
  </w:style>
  <w:style w:type="character" w:customStyle="1" w:styleId="BalloonTextChar">
    <w:name w:val="Balloon Text Char"/>
    <w:link w:val="BalloonText"/>
    <w:uiPriority w:val="99"/>
    <w:semiHidden/>
    <w:rsid w:val="007600B0"/>
    <w:rPr>
      <w:rFonts w:ascii="Segoe UI" w:hAnsi="Segoe UI" w:cs="Segoe UI"/>
      <w:sz w:val="18"/>
      <w:szCs w:val="18"/>
    </w:rPr>
  </w:style>
  <w:style w:type="table" w:styleId="TableGrid">
    <w:name w:val="Table Grid"/>
    <w:basedOn w:val="TableNormal"/>
    <w:uiPriority w:val="59"/>
    <w:rsid w:val="00833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ing4Char">
    <w:name w:val="Heading 4 Char"/>
    <w:link w:val="Heading4"/>
    <w:uiPriority w:val="9"/>
    <w:rsid w:val="00051B3B"/>
    <w:rPr>
      <w:rFonts w:ascii="Times New Roman" w:eastAsia="Times New Roman" w:hAnsi="Times New Roman" w:cs="Times New Roman"/>
      <w:b/>
      <w:bCs/>
      <w:sz w:val="24"/>
      <w:szCs w:val="24"/>
      <w:lang w:val="en-GB" w:eastAsia="en-GB"/>
    </w:rPr>
  </w:style>
  <w:style w:type="character" w:styleId="Hyperlink">
    <w:name w:val="Hyperlink"/>
    <w:rsid w:val="00051B3B"/>
    <w:rPr>
      <w:color w:val="0563C1"/>
      <w:u w:val="single"/>
    </w:rPr>
  </w:style>
  <w:style w:type="paragraph" w:customStyle="1" w:styleId="Default">
    <w:name w:val="Default"/>
    <w:rsid w:val="00474EA5"/>
    <w:pPr>
      <w:autoSpaceDE w:val="0"/>
      <w:autoSpaceDN w:val="0"/>
      <w:adjustRightInd w:val="0"/>
    </w:pPr>
    <w:rPr>
      <w:rFonts w:ascii="Open Sans" w:hAnsi="Open Sans" w:cs="Open Sans"/>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asts@e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E6D2E520-F3D9-8B4B-BCF5-83E7B649B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2161</Words>
  <Characters>1233</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3388</CharactersWithSpaces>
  <SharedDoc>false</SharedDoc>
  <HLinks>
    <vt:vector size="6" baseType="variant">
      <vt:variant>
        <vt:i4>7208975</vt:i4>
      </vt:variant>
      <vt:variant>
        <vt:i4>0</vt:i4>
      </vt:variant>
      <vt:variant>
        <vt:i4>0</vt:i4>
      </vt:variant>
      <vt:variant>
        <vt:i4>5</vt:i4>
      </vt:variant>
      <vt:variant>
        <vt:lpwstr>mailto:pasts@em.gov.lv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Agija Tērauda</dc:creator>
  <cp:keywords/>
  <cp:lastModifiedBy>Agnese Līckrastiņa</cp:lastModifiedBy>
  <cp:revision>2</cp:revision>
  <cp:lastPrinted>2020-08-07T05:35:00Z</cp:lastPrinted>
  <dcterms:created xsi:type="dcterms:W3CDTF">2022-08-09T09:26:00Z</dcterms:created>
  <dcterms:modified xsi:type="dcterms:W3CDTF">2022-08-09T09:26:00Z</dcterms:modified>
</cp:coreProperties>
</file>