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noteikumu Nr. 199 anotācijas, noteikumu projekta izstrādē bija iesaistītas Finanšu ministrija, Valsts ieņēmumu dienests un Ekonomikas ministrija, kuru kompetence ir tieši saistīta ar akcīzes nodokļa administrēšanu un komercdarbības atbalsta regulējuma piemērošanu. Savukārt Ministru kabineta noteikumu Nr. 199 grozījumu projekta anotācijā nav sniegts pamatojums, kādēļ pēc institucionālās reorganizācijas šajā procesā nepieciešams iesaistīt Valsts vides dienestu kā Klimata un enerģētikas ministrijas padotības iestādi. Tāpat anotācijā nav izvērtēts, kādu pievienoto vērtību Dienesta atzinums rada administratīvā procesa īstenošanā, kā arī nav pamatots, kādēļ šīs funkcijas izpilde būtu saglabājama tieši Dienesta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jau iepriekš paustos iebildumus, kas izklāstīti arī Valsts vides dienesta paustajā atzinumā, norādām, ka, neskatoties uz to, ka  jau tiesību akta esošā redakcija nosaka Valsts vides dienesta iesaisti un kompetenci dabasgāzes akcīzes nodokļa atlaižu administrēšanā, minētā kompetence, kas sevī ietver arī valsts atbalsta un uzņēmējdarbības, kas nav saistīta ar energoapgādi vai saistītām jomām, pārraudzību, iestādei ir piešķirta, nepietiekami ņemot vērā iestādes faktisko esošo kompetenci un kapacitāti, un nevar tikt pilnvērtīgi īstenota ar esošo personālu, finansējumu un iestādes darbību reglamentējošajiem normatīvajiem aktiem, tāpēc, uzskatām, ir nepieciešama papildus diskusija, iespējams, Valsts sekretāru sanāksmes līmenī, par minēto pienākumu piešķiršanu atbikstošākai valsts pārvaldes institūcijai, vai arī par Valsts vides dienesta kompetences paplašināšanu, plānoti nodrošinot institūcijai nepieciešamo personālu un saistīto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procesā ir iesaistīti komersants, Lauku atbalsta dienests, Valsts ieņēmumu dienests un Valsts vides dienests. Šāds regulējums neveicina skaidru kompetenču sadalījumu un rada situāciju, kurā vairākas institūcijas izvērtē vienus un tos pašus apstākļus. Labas pārvaldības princips paredz pēc iespējas skaidrāku un efektīvāku institucionālo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veikts funkcionāls izvērtējums par Valsts vides dienesta iesaistes nepieciešamību. Projekta pamatojums aprobežojas ar norādi uz Enerģētikas un vides aģentūras reorganizāciju un iestādes nosaukuma nomaiņu. Enerģētikas un vides aģentūras pievienošana Valsts vides dienestam pati par sevi nav pietiekams pamatojums visu iepriekšējo funkciju automātiskai saglabāšanai. Institucionāla reorganizācija ir pamats izvērtēt katras funkcijas lietderību, nepieciešamību un atbilstību tās pārņēmēja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aģentūras pievienošana Valsts vides dienestam pati par sevi nav pietiekams pamatojums visu iepriekšējo funkciju automātiskai saglabāšanai. Institucionāla reorganizācija ir pamats izvērtēt katras funkcijas lietderību, nepieciešamību un atbilstību tās pārņēmēja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uz atbalsta piešķiršanas brīdi veic galalietotāja izvērtēšanu atbilstoši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Valsts vides dienests 20 dienu laikā pēc iesnieguma saņemšanas izvērtē galalietotāja atbilstību šo noteikumu </w:t>
            </w:r>
            <w:r w:rsidR="00000000" w:rsidRPr="00000000" w:rsidDel="00000000">
              <w:rPr>
                <w:rtl w:val="0"/>
              </w:rPr>
              <w:t xml:space="preserve">70.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un </w:t>
            </w:r>
            <w:r w:rsidR="00000000" w:rsidRPr="00000000" w:rsidDel="00000000">
              <w:rPr>
                <w:rtl w:val="0"/>
              </w:rPr>
              <w:t xml:space="preserve">70.</w:t>
            </w:r>
            <w:r w:rsidR="00000000" w:rsidRPr="00000000" w:rsidDel="00000000">
              <w:rPr>
                <w:vertAlign w:val="superscript"/>
                <w:rtl w:val="0"/>
              </w:rPr>
              <w:t xml:space="preserve">5</w:t>
            </w:r>
            <w:r w:rsidR="00000000" w:rsidRPr="00000000" w:rsidDel="00000000">
              <w:rPr>
                <w:rtl w:val="0"/>
              </w:rPr>
              <w:t xml:space="preserve"> punktā</w:t>
            </w:r>
            <w:r w:rsidR="00000000" w:rsidRPr="00000000" w:rsidDel="00000000">
              <w:rPr>
                <w:rtl w:val="0"/>
              </w:rPr>
              <w:t xml:space="preserve"> minētajām prasībām un nosūta atzinumu Lauku atbalsta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VVD ir iesaistīts atzinumu sniegšanā. Dienests nav nedz nodokļu administrēšanas iestāde, nedz valsts atbalsta administrēšanas iestāde. MK noteikumu Nr. 199 regulējums ir cieši saistīts ar akcīzes nodokļa piemērošanu un valsts atbalsta nosacījumu izvērtēšanu, kur kompetentās institūcijas ir Finanšu ministrija, Valsts ieņēmumu dienests un Ekonomikas ministrija (vai tās resora iestādes). Līdz ar to Dienesta iesaiste šajā procesā pēc būtības neizriet no tā pamatkompetences.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Dienesta rīcībā nav tādas informācijas vai speciālu zināšanu, kas nebūtu pieejamas citām procesā iesaistītajām institūcijām, jo īpaši Valsts ieņēmumu dienestam. Līdz ar to Dienesta atzinums nerada papildu pievienoto vērtību administratīvā lēmuma pieņemšanai, bet dublē citu institūciju veikto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Vera Suzdaļenko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10.08.2026.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10.08.2026.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