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noteikuma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izmaksu segšanai pieejamais finansējums ir 2 757 942 euro, tai skaitā ERAF finansējums 2 344 250 euro un valsts budžeta līdzfinansējums 413 692 euro no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projekta 14. punktā paredzētajam finansējuma apmēram 2.76 milj. EUR, piešķirot atbalstu 10 000 EUR apmērā vienam uzņēmumam, iespējamais atbalstāmo uzņēmumu skaits ir 275 uzņēmumi. Lūdzam skaidrot, kā šis plānotais atbalstāmo uzņēmumu skaits 14. punktā ir sasaistāms ar 9.2.2. punktā noteikto rādītāju, kur grantu saņēmušo uzņēmumu skaits ir ievērojami mazāks - 9.2.2. punktā noteiktais rādītājs ir tikai 30 atbalstītie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apliecinājumu par izstrādātu procedūru, kādā tas nodrošinās komercdarbības atbalsta sniegšanu gala labuma guvējiem atbilstoši šo noteikumu </w:t>
            </w:r>
            <w:r w:rsidR="00000000" w:rsidRPr="00000000" w:rsidDel="00000000">
              <w:rPr>
                <w:rtl w:val="0"/>
              </w:rPr>
              <w:t xml:space="preserve">25.10.</w:t>
            </w:r>
            <w:r w:rsidR="00000000" w:rsidRPr="00000000" w:rsidDel="00000000">
              <w:rPr>
                <w:rtl w:val="0"/>
              </w:rPr>
              <w:t xml:space="preserve"> un </w:t>
            </w:r>
            <w:r w:rsidR="00000000" w:rsidRPr="00000000" w:rsidDel="00000000">
              <w:rPr>
                <w:rtl w:val="0"/>
              </w:rPr>
              <w:t xml:space="preserve">29.15.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vienotā izvēles kritērija "Projekta iesniegumam ir pievienota projekta iesniedzēja izstrādāta procedūra, kā tas nodrošinās </w:t>
            </w:r>
            <w:r w:rsidR="00000000" w:rsidRPr="00000000" w:rsidDel="00000000">
              <w:rPr>
                <w:i w:val="1"/>
                <w:rtl w:val="0"/>
              </w:rPr>
              <w:t xml:space="preserve">de minimis</w:t>
            </w:r>
            <w:r w:rsidR="00000000" w:rsidRPr="00000000" w:rsidDel="00000000">
              <w:rPr>
                <w:rtl w:val="0"/>
              </w:rPr>
              <w:t xml:space="preserve"> atbalsta sniegšanu (attiecināms, ja projekta iesniedzējs ir </w:t>
            </w:r>
            <w:r w:rsidR="00000000" w:rsidRPr="00000000" w:rsidDel="00000000">
              <w:rPr>
                <w:i w:val="1"/>
                <w:rtl w:val="0"/>
              </w:rPr>
              <w:t xml:space="preserve">de minimis</w:t>
            </w:r>
            <w:r w:rsidR="00000000" w:rsidRPr="00000000" w:rsidDel="00000000">
              <w:rPr>
                <w:rtl w:val="0"/>
              </w:rPr>
              <w:t xml:space="preserve"> atbalsta sniedzējs)" prasībām, procedūrai, kā projekta iesniedzējs nodrošinās </w:t>
            </w:r>
            <w:r w:rsidR="00000000" w:rsidRPr="00000000" w:rsidDel="00000000">
              <w:rPr>
                <w:i w:val="1"/>
                <w:rtl w:val="0"/>
              </w:rPr>
              <w:t xml:space="preserve">de minimis</w:t>
            </w:r>
            <w:r w:rsidR="00000000" w:rsidRPr="00000000" w:rsidDel="00000000">
              <w:rPr>
                <w:rtl w:val="0"/>
              </w:rPr>
              <w:t xml:space="preserve"> atbalsta sniegšanu, jābūt izstrādātai uz projekta iesnieguma iesniegšanas brīdi un projekta iesniegumam jāpievieno nevis apliecinājums, bet pati procedūra. Lūdzu atbilstoši precizēt MK noteikumu projekta 18.2.apakšpunktu un 25.10.apakšpunktu.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bezmaksas konsultāciju sniegšanu par projektu pieteikumu sagatavošanu tādās programmās kā Apvārsnis Eiropa, Digitālā Eiropa, CERN, EKA u.c., kā arī programmās piemēroto projektu atlasi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55.punktā minēts, ka "Ja šo noteikumu 26.2. un 26.3. apakšpunktā minētais pasākums ir brīvas piekļuves pasākums, kas veicina gala labuma guvēju vispārējo zināšanu pilnveidi, nav konstatējams atbalsts saimnieciskās darbības veikšanai, dalība tajā nekvalificējas kā komercdarbības atbalsts." Uzturam iepriekš izteikto iebildumu, ka šo noteikumu 25.1. apakšpunkts ietver nosacījumu, ka LIAA neveic atbalstāmās darbības uzņēmumu interesēs, atbalsts kurām kvalificējas kā komercdarbības atbalsts. Skaidrojam, ka, ja atbalsts tiek sniegts uzņēmuma saimnieciskai darbībai, jo LIAA piedāvā tādu pakalpojumu, kas pieejams tirgū (konsultāciju sniegšana par pieteikuma sagatavošanu), kā arī pasākums pats par sevi ir selektīvs, jo paredzēts gala labuma guvējiem, sniedzot tiem ekonomiskas priekšrocības pret citiem interesentiem tirgū, tas kvalificējas kā komercdarbības atbalsts. Attiecīgi, lūdzam sniegt anotācijā skaidrojumu, kādēļ uzskatāt, ka šo noteikumu 26.2.punktā iekļautā aktivitāte nav kvalificējama kā atbalsts uzņēmumam un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papildus Eiropas Savienības fondu 2021.-2027. gada plānošanas perioda vadības likuma 12.panta trešajā daļā minētajam, ir pienākums izskatīt un saskaņot finansējuma saņēmēja iekšējo kontroles sistēmu un kārtību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16. un 17.punktu projekta iesniedzējs pasākuma ietvaros ir EM, LIAA un biedrība. Ja sadarbības iestāde apstiprina projekta iesniegumu un noslēdz vienošanos par projekta īstenošanu, projekta iesniedzējs ir arī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noteikumos attiecībā uz komercdarbības atbalstu gan kā saņēmējs, gan kā sniedzējs gala labuma guvējam, ir minēts termins "finansējuma saņēmējs". Lūdzam pārskatīt noteikumus, t.sk. šo noteikumu VI nodaļu, un precizēt tā, lai viennozīmīgi skaidrs, kura institūcija ir komercdarbības atbalsta sniedzējs kuriem konkrētiem subjektiem, visos līmeņos piemērojot attiecīgo komercdarbības atbalsta regulējumu. Piemēram, 83. un 84.punktā minētais būtu attiecināms arī uz finansējuma saņēmēju - biedrību. Normas ir būtiskas saderības ar ES iekšējo tirgu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Latvijas tehnoloģiju un inovāciju pārstāvniecību darbību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svītrot 35.3.apakšpunktu, ņemot vērā to, ka 1.2.3.1. pasākuma (atbalsta MVU) ietvaros tiek finansēta ārvalstu pārstāvniecību darbība, kuru darbība ir vērsta uz sadarbības kontaktu identificēšanu Latvijas komersantiem, lai atvieglotu tiem piekļuvi ārvalstu tirgiem, nav pamatojamas izmaksām jaunu pārstāvniecību veidošanai, ja šādus pakalpojumus ir iespēja nodrošināt caur esošo ārvalstu pārstāvniecību tīklu, t.sk. nepieciešamības gadījumā pārskatot pārstāvniecību skaitu un to atrašanās vietas atbilstoši LIAA kārtībai un 1.2.3.1. pasākuma pieejamā finansējuma ārvalstu pārstāvniecību darbības nodrošināšanai ietvaros. Attiecināms arī uz MKN 26.1.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ārvalstu komandējumu un darba braucienu izmaksas, tai skaitā transporta izmaksas (maksa par degvielu, transportlīdzekļu noma, transporta pakalpojumu pirkšana), naktsmītnes un dienas naudas izmaksas.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62.atsauci, ārvalstu komandējumu izmaksas attiecināmas tikai projekta īstenošanas personālam un projekta vadītājam. Līdz ar to lūdzam attiecīgi precizēt vai sniegt argumentētu pamatojumu anotācijā par izņēmuma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piemērot visiem saistošajiem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39.10.10. citas izmaksas kas saistītas ar darba pienākumu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atšifrēt, kādas izmaksas domātas zem citām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ārpakalpojumu izmaksas, tai skaitā projektu vadības, grāmatvedības, tehniskā un juridisko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atšķirīga pieeja projekta vadības un īstenošanas personāla izmaksu segšanai (t.sk. arī gala labuma guvēju līmenī), neatkarīgi no līguma formas, līdz ar to lūdzam visas personāla izmaksas paredzēt kā attiecināmas, piemērojot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LIAA pasākuma īstenošanā attiecībā uz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minētajām attiecināmajām izmaksām piemēro vadošās iestādes un nozares ministrijas sagatavotās Eiropas Savienības fondu 2021.–2027. gada plānošanas perioda vienkāršoto izmaksu metodikas, ko piemēro no metodiku stāšanās spēkā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tikai vienam finansējuma saņēmējam ir noteikts par pienākumu piemērot vadošās iestādes un atbildīgās iestādes izstrādātās vienkāršoto izmaksu metodikas. Lūdzam ņemt vērā, ka vienādu izmaksu segšanai jānodrošina vienāda vienkāršoto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38.1.</w:t>
            </w:r>
            <w:r w:rsidR="00000000" w:rsidRPr="00000000" w:rsidDel="00000000">
              <w:rPr>
                <w:rtl w:val="0"/>
              </w:rPr>
              <w:t xml:space="preserve">, </w:t>
            </w:r>
            <w:r w:rsidR="00000000" w:rsidRPr="00000000" w:rsidDel="00000000">
              <w:rPr>
                <w:rtl w:val="0"/>
              </w:rPr>
              <w:t xml:space="preserve">39.7.</w:t>
            </w:r>
            <w:r w:rsidR="00000000" w:rsidRPr="00000000" w:rsidDel="00000000">
              <w:rPr>
                <w:rtl w:val="0"/>
              </w:rPr>
              <w:t xml:space="preserve"> , </w:t>
            </w:r>
            <w:r w:rsidR="00000000" w:rsidRPr="00000000" w:rsidDel="00000000">
              <w:rPr>
                <w:rtl w:val="0"/>
              </w:rPr>
              <w:t xml:space="preserve">40.6.</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atlīdzības izmaksām ir 20% apmērā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projektā ietvertās redakcijas, tā kā atbilstoši 38.1., 39.7., 40.6. un 41.1.1. apakšpunktos minētajam personāla izmaksu segšanai tiks izstrādāta metodika, taču 46.punktā norādīts, ka personāla izmaksu segšanai paredzēts piemērot vienoto likmi līdz 20 %. Vēršam uzmanību, ka šajā gadījumā atsevišķi metodika nav jāizstrādā, taču likmes pamatojums ir saskaņojams ar VI, t.sk. iesniedzot aprēķinu par likmes apmēru, un ietverams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finansējuma saņēmējs nodrošina projekta vadību, piemērojot šo noteikumu 55.4. punktā minēto procedūru. Ja finansējuma saņēmējs nodrošina projekta vadību, tad šo noteikumu </w:t>
            </w:r>
            <w:r w:rsidR="00000000" w:rsidRPr="00000000" w:rsidDel="00000000">
              <w:rPr>
                <w:rtl w:val="0"/>
              </w:rPr>
              <w:t xml:space="preserve">41.1.1. </w:t>
            </w:r>
            <w:r w:rsidR="00000000" w:rsidRPr="00000000" w:rsidDel="00000000">
              <w:rPr>
                <w:rtl w:val="0"/>
              </w:rPr>
              <w:t xml:space="preserve">apakšpunktā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75.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gala labuma guvēja, kā saimnieciskās darbības veicēja, līmenī tiek piešķirts komercdarbības atbalsts (piemērojot atbilstošu komercdarbības atbalsta regulējumu) - viss 41.1. punktā minētais atbalsts ir komercdarbības atbalsts gala labuma guvējam. Savukārt, iepirkuma procedūras piemērošanas rezultātā tiek izslēgta komercdarbības atbalsta piešķiršana preču un pakalpojumu sniedzēju līmenī (nevis gala labuma guvēja līmenī). Attiecīgi lūdzam dzēst šo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noteikumu projekta autoru mērķis ar šo MK noteikumu projekta punktu ir bijis runāt par finansējuma saņēmēja līmeni, skaidrojam, ka finansējuma saņēmēja līmenī (ESA BIC) tiek piešķirts komercdarbības atbalsts, piemērojot atbilstošu komercdarbības atbalsta regulējumu. Savukārt, iepirkuma procedūras piemērošanas rezultātā tiek izslēgta tikai komercdarbības atbalsta piešķiršana preču un pakalpojumu sniedzēju līmenī, nevis finansējuma saņēmēja līmenī (ESA BIC). Attiecīgi lūdzam dzēst šo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Gala labuma guvējs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minētajam atbalstam piesakās elektroniski, iesniedzot finansējuma saņēmējiem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iesniegto gala labuma guvēju projektu iesniegumu atlase, tai skaitā lūdzam skaidrot, vai finansējuma saņēmējs ESA BIC Latvia izveidos projektu atlases komisiju un kā tiks nodrošināta interešu konflikta riska novēršana gala labuma saņēmēju iesniegto projektu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izstrādāto pētniecības projektu atlases shēmu kompetences centru projektos (piemēram, Atbalsts jaunu digitālo produktu un pakalpojumu ieviešanai uzņēmējdarbībā (digitāli produkti) (22-TA-3597)), aicinām piemērot līdzīgu pieeju arī attiecībā uz ESA BIC Latvia finansējuma piešķiršanu gala labuma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Gala labuma guvējiem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minētajai atbalstāmajai darbībai finansējumu piešķir saskaņā ar Komisijas regulu Nr.1407/2013 2.panta 2.punktu un normatīvajiem aktiem par de minimis atbalsta uzskaites un piešķiršanas kārtību un de minimis atbalsta uzskaites veidlapu paraugiem, kā arī ņemot vērā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norādīto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komercdarbības atbalstu saskaņā ar Komisijas regulu Nr.1407/2013, saistoši ir visi regulas nosacījumi, ne tikai 2.panta 2.punkts, attiecīgi lūdzam dzēst tekstu: "2.panta 2.punktu". Pēc analoģijas lūdzam precizēt arī šo noteikumu 70. un 71.punktu.Precizējumi nepieciešami, lai netiktu nepamatoti sašaurināts Komisijas regulas Nr.1407/2013 piemērošanas tvērums MK noteikumu projektā. Normas ir būtiskas saderības ar ES iekšējo tirgu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īstenošanas gaitā radušās sadārdzinājuma izmaksas finansējuma saņēmējs un gala labuma guvējs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74.punktu aiz vārdiem "no saviem līdzekļiem" iekļaujot vārdus " kas brīvi no komercdarbības atbalsta". Vienlaikus lūdzam skaidrot, kas MK noteikumu projekta ietvaros tiek saprasts ar jēdzienu "savi līdzekļi". Vēršam uzmanību, ka, piešķirot komercdarbībasatbalstu, jēdziens "savi līdzekļi"  nozīmē tādu finansējumu, kas brīvs no komercdarbības atbalsta. Norma jāprecizē, lai novērstu nelikumīga komercdarbības atbalsta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70.</w:t>
            </w:r>
            <w:r w:rsidR="00000000" w:rsidRPr="00000000" w:rsidDel="00000000">
              <w:rPr>
                <w:rtl w:val="0"/>
              </w:rPr>
              <w:t xml:space="preserve"> norādītais atbalsts tiek piešķirts ar finansējuma saņēmēja lēmumu un ir uzskatāms par komercdarbības atbalstu gala labuma guvējam.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MK noteikumu projekta 71.punktā ir paredzēta komercdarbības atbalsta piešķiršana saskaņā ar Komisijas regulu Nr.1407/2013, attiecīgi lūdzam MK noteikumu projektā norādīt atbalsta piešķiršanas brīdi arī MK noteikumu projekta 71.punktā paredzētajam komercdarbības atbalstam. Ir būtiski iekļaut noteikumos normu, kas nosaka komercdarbības atbalsta piešķiršanas brīdi, t.i. brīdi kurā brīdī atbalsta saņēmējam ir juridiskas tiesības uz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Gala labuma guvējs piesakoties atbalstam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norādītajā kārtībā, iesniedz pieteikumu kopā ar de minimis atbalsta uzskaites sistēmā (turpmāk - sistēma) sagatavoto veidlapas izdruku, vai norāda sistēmā izveidotās un apstiprinātās pretendenta veidlapas identifikācijas numuru. Atbalsta sniedzējs uzskaita atbalstu, kas piešķirts saskaņā ar Komisijas regulu Nr.1407/2013, ievērojot prasības normatīvajos aktos par de minimis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MK noteikumu projekta 71.punktā ir paredzēta komercdarbības atbalsta piešķiršana saskaņā ar Komisijas regulu Nr.1407/2013, attiecīgi lūdzam papildināt 76.punktu, paredzot, ka arī MK noteikumu projekta 71.punktā minētajam finansējuma saņēmējam ir pienākums veikt MK noteikumu projekta 76.punktā minētās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Finansējuma saņēmējs gala labuma guvējam un sadarbības iestāde ESA BIC Latvia pirms de minimis atbalsta piešķiršanas pārbauda, vai atbalsta apmērs kopā ar attiecīgajā fiskālajā gadā un iepriekšējos trijos fiskālajos gados piešķirto de minimis atbalstu nepārsniedz Komisijas regulas Nr. 1407/2013 3. panta 2. punktā noteikto maksimālo de minimis atbalsta apmēru. De minimis atbalsta apmērs tiek vērtēts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regulā Nr. 1407/2013 noteiktajam, lūdzam 80.punktā norādīt, ka viens vienots uzņēmums atbilst Komisijas regulas Nr. 1407/2013 2.panta 2.punktā noteiktajai viena vienota uzņēmuma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ESA BIC Latvia,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81.punktā tiek paredzēta atbalsta kumulācija, lūdzam MK noteikumu projektā paredzēt normu, ka, piesakoties de minimis atbalstam, komercdarbības atbalsta saņēmējam ir jāsniedz atbalsta sniedzējam informāciju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de minimis atbalsta piešķiršanas pārbauda, vai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71.punktā paredzēto, ka arī uz finansējuma saņēmēju tiek piemēroti Komisijas regulas Nr.1407/2013 nosacījumi, lūdzam 83.punktu precizēt, attiecinot to arī uz sadarbības iestādi, piešķirot atbalstu finansējuma saņēmējam. Normas ir būtiskas saderības ar ES iekšējo tirgu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tiek pārkāptas komercdarbības atbalsta kontroles normas, kas izriet no Komisijas regulas Nr. 1407/2013, gala labuma guvējam un ESA BIC Latvia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tā, lai skaidra ir nelikumīga atbalsta atgūšanas shēma, ja no noteikumiem skaidrs, ka gala labuma guvējiem de minimis atbalstu piešķirs ESA BIC Latvia, vienlaikus ESA BIC Latvia ir arī atbalsta saņēmējs. Tāpat teikuma daļu "Ja tiek pārkāptas komercdarbības atbalsta kontroles normas, kas izriet no Komisijas regulas Nr. 1407/2013..[..]" lūdzam aizstāt ar vārdiem "Ja tiek pārkāptas Komisijas regulas Nr. 1407/2013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ar darbinieku skaitu līdz 3000 un komersanti, kas atbilst lielā komersanta statusam saskaņā ar Regulas Nr. 651/2014 2. panta 24. punktā noteikto definīciju ar nosacījumu, kas noslēdzis vienošanos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2.1.punkta normas redakcija neiet kopā ar anotācijā ietverto skaidrojumu, ka </w:t>
            </w:r>
            <w:r w:rsidR="00000000" w:rsidRPr="00000000" w:rsidDel="00000000">
              <w:rPr>
                <w:i w:val="1"/>
                <w:rtl w:val="0"/>
              </w:rPr>
              <w:t xml:space="preserve">lielie komersanti pasākuma ietvaros tiek uzskatīti kā mazās vidējās kapitalizācijas sabiedrības, kam ir no 250 līdz 499 darbinieku, kas neatbilst MVU statusam, un kā vidējās kapitalizācijas sabiedrības, kam ir no 500 līdz 3 000 darbinieku</w:t>
            </w:r>
            <w:r w:rsidR="00000000" w:rsidRPr="00000000" w:rsidDel="00000000">
              <w:rPr>
                <w:rtl w:val="0"/>
              </w:rPr>
              <w:t xml:space="preserve">. Lūdzam attiecīgi precizēt, svītrojot punkta daļu " un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Kohēzijas politikas programmas (2021-2027) (85)  paragrāfa nosacījumiem arī vidējas kapitalizācijas sabiedrības 1.2.1. SAM ietvaros var tikt atbalstītas ar nosacījumu, ja tas ietver sadarbību minētajās aktivitātēs ar MVU P&amp;I.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 ir valsts tiešās pārvaldes iestāde, kuras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noslēdzis vienošanos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apakšpunkta redakciju, nodrošinot, ka tas nav pretrunā ar noteikumu projekta 16. punktā noteikto, kas paredz, ka pasākuma ietvaros ir trīs finansējuma saņēmēji - EM, LIAA un ESA BIC.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un zināšanu izplatīšanas organizācijas – organizācija, kas atbilst Komisijas 2014. gada 17. jūnija Regulas (ES) Nr. 651/2014, ar ko noteiktas atbalsta kategorijas atzīst par saderīgām ar iekšējo tirgu, piemērojot Līguma 107. un 108. pantu  2. panta 83.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2.4.punkts ir vienīgais, kurā minēta pētniecības un zināšanu izplatīšanas organizācijas definīcija un citur MKN šis termins minēts nav, lūdzam šo apakšpunktu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nefinansiālu atbalstu saņēmušie uzņēmumi līdz 2024.gada 31.decembrim par dalību Apvārsnis Eiropa, Digitālā Eiropa un citās ES līmeņa inovāciju programmās - 10;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Kohēzijas programmas ietvaros attiecībā uz nefinansiālu atbalstu šobrīd pastāv tikai šāds iznākuma rādītājs: "Nefinansiālu atbalstu saņēmušie uzņēmumi". Lūdzam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ar grantiem atbalstīto uzņēmumu skaits –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minēto rādītāju šādā redakcijā: "Ar grantiem atbalstītie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finansējums sadalās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pasākumam pieejamais kopējais finansējums ir finansējums, kurā neietilpst elastības finansējums. Lūdzam atbilstoši precizēt 13. punktu. Šobrīd pieejamais kopējais finansējums ir vienāds ar plānoto kopējo finansējumu, kas ir nepareizi.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Eiropas Kosmosa aģentūras Latvijas Biznesa inkubācijas centra (turpmāk – ESA BIC Latvia) pieejamais finansējums ir 1 145 000 euro, tai skaitā skaitā ERAF finansējums 973 250 euro un valsts budžeta līdzfinansējums 171 750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LITAF ziņojumā (2022), kas nosaka P&amp;A&amp;I nacionālo pārvaldības modeli, kā arī RIS3 pārvaldības modeli, paredzēto, RIS3 ekosistēmu pārvaldību, t.sk.koordinēšanu nodrošina LIAA, lūdzam anotācijā sniegt pamatojumu ESA BIC iekļaušanai kā vienu no pasākuma finansējuma saņēmējiem, t.sk. vai ESA BIC ir deleģējums atbalsta sniegšanai, kā arī sniegt informāciju par to, vai LIAA ir izstrādāta kārtība, kāda tiek veidotas un pārskatītas ekosistēmas, atbilstoši, kam tiek veidota jauna ekosistēma kosmosa jomā, vai iekļaut atsauci uz kādu citu MK apstiprinātu nacionālo dokumentu,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EM, LIAA un ESA BIC Latvia.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priekšlikumu pie MKN 13.3.apakšpunkta.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minētajam projekta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25.11. un 27.9.apakšpunktos noteikto prasību, lūdzam papildināt MK noteikumu projekta 18.punktu ar prasību iesniegt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16.11.2023. VID vēstulē Nr.VID.4.1/8.4/870 sniegto skaidrojumu, lūgums papildināt noteikumu projektu ar jaunu nosacījumu (būtībā EM pienākums ziņot VID par lēmumos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lēmuma pieņemšanā par atbalsta sniegšanu gala labuma guvējiem iesaistītās personas ir uzskatāmas par valsts amatpersonām likuma Par interešu konflikta novēršanu valsts amatpersonu darbībā 4.panta trešās daļas izpratnē, bez pienākuma iesniegt valsts amatpersonu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precizējot MKN projektu ņemt vērā no EK š.g. 27.nov. elektroniski saņemtos komentārus (attiecas, piemēram, uz MKN noteikumu projekta 21.punktu par nesabalansētu RIS3 vadības grupas balsstiesīgo sastāvu; 22. punktu kontekstā ar RIS3 vadības grupas pienākumiem; 25. punktu attiecībā uz RIS3 stratēģiju izstrādi un apstiprināšanu; 25.8. punktu - noteikt LIAA par pienākumu veidot RIS3 vadības grupas un noteikt kārtību, kā tās tiek veidotas, un ekosistēmas pārskatītas; 25.2. un 21. punktiem attiecībā uz LIAA pienākumu koordinēt RIS3 vadības grupu darbu, vienlaicīgi nosakot, ka LIAA pārstāvis tiek iekļauts RIS3 vadības grupas sastāvā. Atbilstoši precizējumi veicami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iespēju robežās pārbaudīt iesniegto RIS3 jomu monitoringa datu precizitāti;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MKN noteikt konkrētu izlases veida apjomu, kas 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nodrošināt projekta ietvaros noteikto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arī uz MKN 9.1.apakšpunktu, jo arī tie  ir saistoši ESA BIC.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granta piešķiršana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37.3. apakšpunkta redakciju, nosakot mērķi, kādām aktivitātēm tiks piešķirts grants gala labuma guvējiem  - šobrīd 35.8. apakšpunktā tiek skaidri definēts, ka LIAA piešķir grantu gala labuma guvējiem projektu iesniegumu izstrādei programmā “Apvārsnis Eiropa”, savukārt 37.3. apakšpunktā netiek noteikti detalizētāki nosacījumi tieši kāda veida grantus piešķirs ESA BIC Latvia. Attiecīgi ESA BIC Latvia granta mērķis uzņēmumiem netiek definēts arī nevienā citā MK noteikumu projekta punktā.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ārējo ekspertu piesaistes izmaksas, lai nodrošinātu šo noteikumu </w:t>
            </w:r>
            <w:r w:rsidR="00000000" w:rsidRPr="00000000" w:rsidDel="00000000">
              <w:rPr>
                <w:rtl w:val="0"/>
              </w:rPr>
              <w:t xml:space="preserve">36.8. </w:t>
            </w:r>
            <w:r w:rsidR="00000000" w:rsidRPr="00000000" w:rsidDel="00000000">
              <w:rPr>
                <w:rtl w:val="0"/>
              </w:rPr>
              <w:t xml:space="preserve">apakšpunktā</w:t>
            </w:r>
            <w:r w:rsidR="00000000" w:rsidRPr="00000000" w:rsidDel="00000000">
              <w:rPr>
                <w:rtl w:val="0"/>
              </w:rPr>
              <w:t xml:space="preserve"> minētās darbības īstenošanu, ja nepieciešams sniegt vērtējumu pētniecības un inovācijas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papildināt MK noteikumu 38.8 apakšpunktu, ar skaidrojumu - šīs ir vai nav uzskatāmas par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 jaunradītu darba vietu aprīkojuma, biroja mēbeļu un tehnikas, datorprogrammu un licenču iegādes vai nomas izmaksas, aprīkojuma uzturēšanas;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38.9.apakšpunktu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piemērot visiem saistošajiem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38.10. apdrošināšanas – veselības, dzīvības, transportlīdzekļu, iekārtu, civiltiesiskās atbildības – izmaksas šo noteikumu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argumentēti pamatojot visu uzskaitīto apdrošināšanas izmaksu attiecināmības pamatojumu. Vēršam uzmanību, ka no anotācijā sniegtās informācijas nav saprotams, kurš tiks apdrošināts - vai īstenošanas personāls? Kā arī nav skaidrs pamatojums/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veselības apdrošināšanas izmaksas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piemērot visiem saistošajiem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apdrošināšanas – veselības, dzīvības, transportlīdzekļu,iekārtu, civiltiesiskās atbildības – izmaksas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EM izziņas 73.punktā  sniegtā atbilde nav uzskatāma par atbildi pēc būtības attiecībā uz to, kādu atbalstāmo darbību ietvaros un kāpēc būtu attiecināmas dzīvības apdrošināšanas izmaksas (nav sniegts pamatojums). Lūdzam EM skaidrot, vai un kā pasākuma īstenošana ir saistīta ar bīstamību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nozares ekspertu RIS3 jomās piesaistes izmaksas, tai skaitā ārpakalpojuma izmaksas, kas iesaistīti atbilstoši šo noteikumu </w:t>
            </w:r>
            <w:r w:rsidR="00000000" w:rsidRPr="00000000" w:rsidDel="00000000">
              <w:rPr>
                <w:rtl w:val="0"/>
              </w:rPr>
              <w:t xml:space="preserve">35.1.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39.3.apakšpunktā minētais nav uzskatāms par īstenošanas personālu, attiecīgi izmaksas attiecinot atbilstoši izstrādātajai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39.10.1. darba samaksa, tai skaitā valsts sociālās apdrošināšanas obligātās iemaksas, izmaksas ir attiecināmas atbilstoši nozares ministrijas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39.10.1.punktā minētām izmaksām ir plānots piemērot to pašu vienkāršoto izmaksu metodiku, kas minēta noteikumu projekta 39.7.apakšpunktā.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39.10.2. pabalsti un kompensācijas, kas saistīts ar nodarbinātā darba pienākumu veikšanu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noteikumu projekta 39.10.2.punktā minētā izmaksu pozīcija.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39.10.3. apdrošināšanas - veselības, dzīvības, transportlīdzekļu, iekārtu, civiltiesiskās atbildības – izmaksas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priekšlikumu pie MKN 39.6.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saņēmējam un gala labuma guvējam izmaksas ir attiecināmas, kas atbilst šo noteikumu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minētajām izmaksu pozīcijām un ir radušās no dienas, kad noslēgta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horizontālu nosacījumu MK noteikumu projektā, nosakot, ka pasākuma ietvaros attiecināmas ir tikai izmaksas, kas ir tieši saistītas ar projekta īstenošanu un nepieciešamas rezultātu sasniegšanai, un šī saistība ir skaidri saprotama un pierādāma.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var saņemt avansa maksājumu, kas nepārsniedz 30 procentus no kopējā projekta publiskā finansējuma apmēra, pamatojot tā sasaisti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plānoto rādītāju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 no 3 finansējuma saņēmējiem ir valsts budžeta iestādes, lūdzam precizēt šī punkta redakciju, nosakot avansa maksājumu kārtību atbilstoši finansējuma saņēmēja veidam (EM un LIAA nav jāparedz avansa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ESA BIC Latvia,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77.punktā noteikto, ka maksimālā atbalsta intensitāte šo noteikumu ietvaros, ja komercdarbības atbalsts tiek piešķirts saskaņā ar Komisijas regulu Nr. 1407/2013, ir 100%, nav skaidrs, kā varētu būt iespējams 81.punktā paredzētais, ka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Ievērojot minēto, lūdzam pārskatīt un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netiek pārsniegts Komisijas regulas 1407/2013 3. panta 2. punktā noteiktais maksimālais de minimis atbalsta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korekti piemērotas Komisijas regulas Nr.1407/2013 prasības, lūdzam precizēt 83.2.apakšpunktu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kārtējā un iepriekšējos divos fiskālajos gados saņemtais de minimis atbalsts kopā ar plānoto de minimis atbalsta apmēru nepārsniedz Komisijas regulas 1407/2013 3. panta 2. punktā noteikto kopējo de minimis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gala labuma guvējs un ESA BIC Latvia darbojas kādā no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vai Komisijas regulas Nr. 717/2014 1. panta 2. un 3. punktu, vai Komisijas regulas Nr. 1408/2013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šā brīža redakcijai MKN projekta ietvaros komercdarbības atbalstu paredzēts sniegt tikai saskaņā ar Komisijas regulu Nr. 1407/2013, attiecīgi atsauces uz Komisijas regulas Nr. 717/2014 1. panta 2. un 3. punktu un Komisijas regulas Nr. 1408/2013 1. panta 2. punktu ir jādzēš.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gala labuma guvējs un ESA BIC Latvia darbojas kādā no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vai Komisijas regulas Nr. 717/2014 1. panta 2. un 3. punktu, vai Komisijas regulas Nr. 1408/2013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 1407/2013 neaizliedz atbalsta piešķiršanu šo noteikumu 59. punktā un 85. punkta apakšpunktos minētajās nozarēs, Komisijas regulas Nr. 1407/2013 1. panta 2. punkts paredz iespēju, ja uzņēmums darbojas gan nozarēs, kas minētas  Komisijas regulas Nr. 1407/2013 1.panta 1. punkta a), aa), b) vai c) apakšpunktā, gan vienā vai vairākās nozarēs vai citās darbības jomās, uz kurām attiecas šīs regulas darbības joma, piešķirt atbalstu ar nosacījumu, ka piemērojot darbību vai izmaksu nošķiršanu, tiek nodrošināts, ka darbības nozarēs, kuras ir izslēgtas no Komisijas regulas Nr. 1407/2013 darbības jomas, negūst labumu no de minimis atbalsta, ko piešķir saskaņā ar šo regulu. Ievērojot minēto, lūdzam precizēt MK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Turklāt lūdzam 5.1.apakšpunktā norādīt precizēto finansiālo ietekmi un papildināt 6.punktu ar informāciju par finansējuma sadalījumu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noteikumu projekta 71.punktam finansējumu Eiropas Kosmosa aģentūras Latvijas Biznesa inkubācijas centram piešķir sadarbības iestāde, attiecīgi lūdzam papildināt sadaļas punktu “Cita informācija”, norādot, ka arī  Finanšu ministrija nepieciešamo finansējumu lūgs pārdalīt no 74. resora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pēc projekta ieviešanas inovācijas pārvaldības modeli un monitoringu plānots veikt valsts budžeta ietvaros. Ņemot vērā, ka viens no finansējuma saņēmējiem ir Eiropas Kosmosa aģentūras Latvijas Biznesa inkubācijas centrs, kas nav budžeta iestāde, lūdzam precizēt anotācijā sniegto informāciju, norādot, ka pēc pasākuma ieviešanas RIS3 pārvaldības modeļa darbība tiks turpināta un pilnveidota finansējuma saņēmēju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punkta (Pašreizējā situācija, problēmas un risinājumi) sadaļā "Risinājuma apraksts"  minēto plānoto ietekmi uz tautsaimniecību, piemēram, ka  pasākuma ietvaros inovāciju pārvaldības modelis nodrošinās privāto līdzfinansējumu piesaisti vismaz 200 milj. EUR apmērā, radītu vismaz 1740 jaunradītus un izstrādātus produktus utt., tad lai nesniegtu maldinošu iespaidu, aicinām EM norādīt, ka  šī ietekme uz tautsaimniecību ir attiecināma uz visu 1.2.1.1. pasākuma kārtu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punkta (Pašreizējā situācija, problēmas un risinājumi) sadaļā "Risinājuma apraksts" apakšsadaļā "(3.) Inovāciju sistēmas pārvaldības modeļa iesaistīto institūciju un finansējuma saņēmēju pienākumi" iekļauto informāciju attiecībā uz RIS3 monitoringa ziņojumu izstrādi sākot ar 2026.gadu, tad, lai sniegtu pilnu situācijas izklāstu par plānoto darbu ar RIS3 monitoringa ziņojumiem, lūdzam ietvert informāciju arī par monitoringa ziņojumu izstrādi pa gadiem  ANM atbalsta  ietvaros (5.1.1.1.i investīcija)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komentāru un atkārtoti informējam, ka AF 5.1.1.1.i. investīcijas finansējums ir plānots līdz 2026.gadam. Vēršam uzmanību, ka 5.1.1.1.i. informatīvajā ziņojumā ir noteikts, ka Atveseļošanas fonda ietvaros EM uz LIAA izveidotās darba vietas pēc 2026.gada 30. jūlija tiks segtas 100 procentu apjomā no Eiropas Savienības kohēzijas politikas programmu 2021.–2027. gadam 1.2. prioritārā virziena "Atbalsts uzņēmējdarbībai" 1.2.1. specifikā atbalsta mērķa "Pētniecības un inovāciju kapacitātes stiprināšana un progresīvu tehnoloģiju ieviešana uzņēmumiem" 1.2.1.1. pasākumu "Atbalsts jaunu produktu attīstībai un internacionalizācijai" 1.kārta līdzekļiem. Lūdzam skaidrot, kā praktiski tiks nodrošināta demarkācija ar Programmas 1.2.1.1. pasākuma 1.kārtu. Papildus lūdzam papildināt anotāciju ar skaidrojumu, kāda ir šī pasākuma galvenā atšķirība no īstenošanā esošās AF 5.1.1.1.i. investīcijas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anotācijā iekļauto informāciju par vienkāršotajām izmaksām, atbilstoši par visām plānotajām vienkāršotajām izmaksām, kā arī lūdzam precizēt norādīto informāciju, tā kā atbilstoši MK noteikumos minētajam, secināms, ka plānoti 3 finansējuma saņēmēji, kur katra projekta kopējās izmaksas nebūs mazākas par 200 000 EUR. Lūdzam precizēt, vai anotācijā ietvertā informācija atbilst iepriekš sniegtajiem skaidrojumiem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05.12.2023. 22.50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05.12.2023. 22.50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