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norādītās mērķgupas un ietekmes aprakstu. Lūdzam atzīmēt, ka  tiesiskais regulējums ietekmē juridiskās personas (patreiz atzīmēts ar "nē"). Norādāms, ka mērķgrupas var būt gan privātais, gan publiskais sektors. Katru mērķgrupu atzīmē atsevišķi un sniedz ietekmes aprakstu uz to. Katru jauno mērķgrupu pievieno, nospiežot "+" zīmi pie "Citas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sadaļu tā, lai būtu skaidrs, ka likumprojekts attiecas gan uz privāto tiesību juridiskajām personām (uz to norādīts  likumprojekta 3. pantā un tas izriet no 18. panta pirmās daļas) plašākā nozīmē un kādā veidā, gan, ka tas attiecas uz subjektiem likuma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pants paredz, ka Nacionālais kiberdrošības centrs un Satversmes aizsardzības birojs var uzdot subjektam veikt ārēju auditu par subjekta atbilstību šajā likumā un Ministru kabineta noteiktajām kiberdrošības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 audita izmaksas sedz attiecīgais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ietekmi uz tautsaimniecību, jāidentificē izmaksas, ko radīs risinājumu izpilde pēc būtības, t.sk.  projekta prasību izpilde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aprēķināt un norādīt, kādas izmaksas noteiktās prasības izpilde (audita veikšana) radīs vienai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jāaprēķina par informācijas sniegšanas prasībām, kas izriet no tiesību akta projekta. Juridiskajām personām administratīvo izmaksu finansiālais novērtējums jānorāda, ja tas gada laikā pārsniedz 2 000 euro šai mērķgrupai.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panta pirmajā daļā noteikts, ka juridiskā persona veic pašizvērtējumu, nosakot savu atbilstību būtisko pakalpojumu sniedzēja vai svarīgo pakalpojumu sniedzēja statusam. Atbilstības gadījumā juridiskā persona ne vēlāk kā viena mēneša laikā par to paziņo Nacionālajam kiberdrošības centram. Projektā norādīts, kas ir jāiekļauj šajā paziņojumā.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pantā paredzēts, ka subjekts līdz kārtējā gada 1. jūlijam iesniedz Nacionālajam kiberdrošības centram un Satversmes aizsardzības birojam subjekta atbilstības ikgadējo pašnovērtējuma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šīs informācijas sniegšanas prasības radīs izmaksas un nepieciešamības gadījumā šīs izmaksas norādīt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18.04.2023.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18.04.2023.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