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tā 2. tabulas 6. punktā ir redzams rezerves finansējums 382 243 </w:t>
            </w:r>
            <w:r w:rsidR="00000000" w:rsidRPr="00000000" w:rsidDel="00000000">
              <w:rPr>
                <w:i w:val="1"/>
                <w:rtl w:val="0"/>
              </w:rPr>
              <w:t xml:space="preserve">euro</w:t>
            </w:r>
            <w:r w:rsidR="00000000" w:rsidRPr="00000000" w:rsidDel="00000000">
              <w:rPr>
                <w:rtl w:val="0"/>
              </w:rPr>
              <w:t xml:space="preserve"> apmērā, kas var tikt pārdalīts starp informatīvajā ziņojumā minētajām iestādēm to īstenoto pasākumu ietvaros iespējamo sadārdzinājumu segšanai. Saistībā ar minēto vēršam uzmanību, ka minētajā ziņojuma tabulā norādīts ne tikai uz iestādēm, bet arī atvasinātām publiskām personām un privātpersonām, līdz ar to lūdzam ziņojumā konsekventi (sk. ziņojuma 2. tabulas 6. punkta 1. kolonnu, kā arī lēmuma projekta 3. punktu) norādīt, ka finansējums var tikt pārdalīts informatīvā ziņojuma 2. tabulā minētajām institūcijām (vai alternatīvi -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10.05.2023.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10.05.2023.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