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23-TA-395: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un Eiropas Savienības atbalsta piešķiršanas, administrēšanas un uzraudzības noteikumi intervences "Ieguldījumi ilgtspējīgai mežsaimniecībai"  apakšpasākumā "Ieguldījumi meža ieaudzēšanai, nomaiņai, atjaunošanai un retināšanai" un intervencē "Atbalsts meža ekosistēmu noturības un ekoloģiskās vērtības uzlabošanai un uzturēšanai"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 īscirtmeta atvasājiem un ātraudzīgu koku sugu enerģētiskām plantācijām saskaņā ar Lauksaimniecības un lauku attīstības likumu;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atsauci uz Lauksaimniecības un lauku attīstības likumu, jo tas neregulē īscirtmeta atvasāju un ātraudzīgu koku sugu enerģētisko plantāciju audzēšanas jautājumus.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Atbalsta saņemšanas nosacījumi intervencēs "Ieguldījumi ilgtspējīgai mežsaimniecībai" un "Atbalsts meža ekosistēmu noturības un ekoloģiskās vērtības uzlabošanai un uzturēšanai" meža ugunsgrēkos un dabas katastrofās iznīcinātu mežaudžu atjaunošanas nolūkā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nepieciešamības gadījumā svītrot noteikumu projekta 26. -31. punktu. Norādām, ka atbilstoši noteikumu projekta 24.1. apakšpunktam atbalstu par meža atjaunošanu piešķir saskaņā ar regulas 2022/2472 43. pantu. Savukārt atbilstoši noteikumu projekta 24.2. apakšpunktam atbalstu par atjaunotās mežaudzes agrotehnisko kopšanu piešķir saskaņā ar regulas 2022/2472 42. pantu. Līdz ar to nav skaidra nepieciešamība noteikumu projektā atsaukties vēl uz atsevišķām regulas 2022/2472 42. un 43. panta apakšvienībām.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iebildums analoģiski attiecas arī uz noteikumu projekta IV. nodaļas 33. - 35.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Atbalstu meža atjaunošanai atbalstu piešķir, ja projekti atbilst dalībvalsts izstrādātajam meža aizsardzības plānam, kas minēts regulas 2022/2472 43. panta 7. 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anotācijā skaidrot, kas ir šajā noteikumu projekta punktā minētais "dalībvalsts izstrādātais meža aizsardzības plāns" un kur tas pieejams. Lūdzam arī skaidrot un precizēt atsauci uz "dalībvalsti", ņemot vērā noteikumu projekta 4. punktā noteikto, ka intervenču īstenošanas vieta ir </w:t>
            </w:r>
            <w:r w:rsidR="00000000" w:rsidRPr="00000000" w:rsidDel="00000000">
              <w:rPr>
                <w:u w:val="single"/>
                <w:rtl w:val="0"/>
              </w:rPr>
              <w:t xml:space="preserve">Latvijas teritorija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arī uz to, ka pašreizējā redakcijā atsaucei uz regulas normu nav juridiskas slodzes, jo regulas 2022/2472 43. panta 7. punkts nekonkretizē attiecināmo plānu. Līdz ar to Tieslietu ministrijas ieskatā punkts svītrojams. Gadījumā, ja nepieciešams konkrētās regulas normas ieviešanas mehānisms, lūdzam atsaukties uz normatīvo aktu prasībām, kas konkretizē attiecināmo plānu un/vai tā saturu, piemēram, Ministru kabineta 2023. gada 27. jūnija noteikumiem Nr. 348 "Meža aizsardzības noteikumi" vai citu attiecināmo normatīvo aktu.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Projektu iesniegumus vērtē, lēmumu par projektu iesniegumu apstiprināšanu vai noraidīšanu pieņem un paziņo, kā arī publisko finansējumu pieprasa saskaņā ar normatīvajiem aktiem par valsts un Eiropas Savienības atbalsta piešķiršanas, administrēšanas un uzraudzības vispārējo kārtību lauku un zivsaimniecības attīstībai. Lēmuma par projektu iesniegumu apstiprināšanu diena ir uzskatāma par valsts atbalsta piešķiršanas dienu.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paredz atsevišķas specifiskas prasības intervenču un projektu īstenošanai, ierosinām noteikumu projekta 2.punkta pirmo teikumu papildināt ar vārdiem "ciktāl šie noteikumi nenosaka citādi" vai tamlīdzīgi.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Ja pretendents atbalstam piesaka vairākas lauksaimniecībā izmantojamās zemes vienības ar atšķirīgu zemes kontūru kvalitatīvo novērtējumu, kas ietilpst atšķirīgās kvalitātes grupās, projekta atlases otrā kritērija punktu skaita noteikšanai aprēķina vidējo svērto zemes kvalitatīvo novērtējumu (V</w:t>
            </w:r>
            <w:r w:rsidR="00000000" w:rsidRPr="00000000" w:rsidDel="00000000">
              <w:rPr>
                <w:vertAlign w:val="subscript"/>
                <w:rtl w:val="0"/>
              </w:rPr>
              <w:t xml:space="preserve">vid</w:t>
            </w:r>
            <w:r w:rsidR="00000000" w:rsidRPr="00000000" w:rsidDel="00000000">
              <w:rPr>
                <w:rtl w:val="0"/>
              </w:rPr>
              <w:t xml:space="preserve">),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w:t>
            </w:r>
            <w:r w:rsidR="00000000" w:rsidRPr="00000000" w:rsidDel="00000000">
              <w:rPr>
                <w:vertAlign w:val="subscript"/>
                <w:rtl w:val="0"/>
              </w:rPr>
              <w:t xml:space="preserve">vid</w:t>
            </w:r>
            <w:r w:rsidR="00000000" w:rsidRPr="00000000" w:rsidDel="00000000">
              <w:rPr>
                <w:rtl w:val="0"/>
              </w:rPr>
              <w:t xml:space="preserve"> = Σ (V</w:t>
            </w:r>
            <w:r w:rsidR="00000000" w:rsidRPr="00000000" w:rsidDel="00000000">
              <w:rPr>
                <w:vertAlign w:val="subscript"/>
                <w:rtl w:val="0"/>
              </w:rPr>
              <w:t xml:space="preserve">x</w:t>
            </w:r>
            <w:r w:rsidR="00000000" w:rsidRPr="00000000" w:rsidDel="00000000">
              <w:rPr>
                <w:rtl w:val="0"/>
              </w:rPr>
              <w:t xml:space="preserve"> * L</w:t>
            </w:r>
            <w:r w:rsidR="00000000" w:rsidRPr="00000000" w:rsidDel="00000000">
              <w:rPr>
                <w:vertAlign w:val="subscript"/>
                <w:rtl w:val="0"/>
              </w:rPr>
              <w:t xml:space="preserve">x</w:t>
            </w:r>
            <w:r w:rsidR="00000000" w:rsidRPr="00000000" w:rsidDel="00000000">
              <w:rPr>
                <w:rtl w:val="0"/>
              </w:rPr>
              <w:t xml:space="preserve">) / Σ L</w:t>
            </w:r>
            <w:r w:rsidR="00000000" w:rsidRPr="00000000" w:rsidDel="00000000">
              <w:rPr>
                <w:vertAlign w:val="subscript"/>
                <w:rtl w:val="0"/>
              </w:rPr>
              <w:t xml:space="preserve">x</w:t>
            </w:r>
            <w:r w:rsidR="00000000" w:rsidRPr="00000000" w:rsidDel="00000000">
              <w:rPr>
                <w:rtl w:val="0"/>
              </w:rPr>
              <w:t xml:space="preserve">, kur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w:t>
            </w:r>
            <w:r w:rsidR="00000000" w:rsidRPr="00000000" w:rsidDel="00000000">
              <w:rPr>
                <w:vertAlign w:val="subscript"/>
                <w:rtl w:val="0"/>
              </w:rPr>
              <w:t xml:space="preserve">x</w:t>
            </w:r>
            <w:r w:rsidR="00000000" w:rsidRPr="00000000" w:rsidDel="00000000">
              <w:rPr>
                <w:rtl w:val="0"/>
              </w:rPr>
              <w:t xml:space="preserve"> – tās lauksaimniecībā izmantojamās zemes vienības kontūras kvalitatīvais novērtējums ballēs, kurā paredzēts ieaudzēt mežaudzi;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w:t>
            </w:r>
            <w:r w:rsidR="00000000" w:rsidRPr="00000000" w:rsidDel="00000000">
              <w:rPr>
                <w:vertAlign w:val="subscript"/>
                <w:rtl w:val="0"/>
              </w:rPr>
              <w:t xml:space="preserve">x</w:t>
            </w:r>
            <w:r w:rsidR="00000000" w:rsidRPr="00000000" w:rsidDel="00000000">
              <w:rPr>
                <w:rtl w:val="0"/>
              </w:rPr>
              <w:t xml:space="preserve"> – tās lauksaimniecībā izmantojamās zemes vienības kontūras platība hektāros, kurā paredzēts ieaudzēt mežaudzi.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frāzi "projekta atlases otrais kritērijs", ja nepieciešams, pievienojot atsauci uz noteikumu projekta attiecīgo pielikumu, kurā šis kritērijs noteikts.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22.3. tāda plantāciju meža ieaudzēšanu, kurā koku skaits vienā hektārā ir mazāks par minimālo skaitu, lai atzītu mežaudzi par ieaudzētu, kāds paredzēts normatīvajos aktos par meža atjaunošanu, meža ieaudzēšanu un plantāciju mežu;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tiesiskās skaidrības nolūkos, piemēram: "tāda plantāciju meža ieaudzēšanu, kurā koku skaits vienā hektārā ir mazāks par n</w:t>
            </w:r>
            <w:r w:rsidR="00000000" w:rsidRPr="00000000" w:rsidDel="00000000">
              <w:rPr>
                <w:i w:val="1"/>
                <w:rtl w:val="0"/>
              </w:rPr>
              <w:t xml:space="preserve">ormatīvajos aktos par meža atjaunošanu, meža ieaudzēšanu un plantāciju mežu</w:t>
            </w:r>
            <w:r w:rsidR="00000000" w:rsidRPr="00000000" w:rsidDel="00000000">
              <w:rPr>
                <w:rtl w:val="0"/>
              </w:rPr>
              <w:t xml:space="preserve"> noteikto mežaudzes ieaudzēšanai nepieciešamo minimālo koku skaitu;"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Valsts meža dienests mēneša laikā pēc intervenču plāna iesniegšanas izvērtē tā atbilstību attiecīgās intervences īstenošanas nosacījumiem un pieņem lēmumu par intervenču plāna saskaņošanu vai noraidīšanu. Intervenču plāna derīguma termiņš ir viens gads pēc saskaņojuma saņemšanas.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vārdus "pēc saskaņojuma saņemšanas" aizstāt ar vārdiem "pēc lēmuma par intervenču plāna saskaņošanu spēkā stāšanās".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51.1. vērtē pretendenta atbilstību regulas 2022/2472 1. panta 5. punkta un 2. panta 59. punkta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noteikumu projekta 51.1.punkts (vai cita 51.punkta apakšvienība) nav jāpapildina ar norādi par atbilstību šo noteikumu prasībām, kā arī citām regulas 2022/2472 prasībām. Vēršam uzmanību, ka noteikumu projektā pretendentam un tā plānotajai intervencei noteiktas ievērojami plašākas atbilstības prasības, nekā šobrīd norādīts noteikumu projekta 51.punktā, un nav skaidrs, vai un kurā brīdī tiek vērtēta pretendenta atbilstība šīm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23-TA-395</w:t>
    </w:r>
    <w:r>
      <w:br/>
    </w:r>
    <w:r w:rsidR="00000000" w:rsidRPr="00000000" w:rsidDel="00000000">
      <w:rPr>
        <w:rtl w:val="0"/>
      </w:rPr>
      <w:t xml:space="preserve">Izdrukāts 05.07.2023. 11.23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23-TA-395</w:t>
    </w:r>
    <w:r>
      <w:br/>
    </w:r>
    <w:r w:rsidR="00000000" w:rsidRPr="00000000" w:rsidDel="00000000">
      <w:rPr>
        <w:rtl w:val="0"/>
      </w:rPr>
      <w:t xml:space="preserve">Izdrukāts 05.07.2023. 11.23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Atzinumi_23-TA-395.docx</dc:title>
</cp:coreProperties>
</file>

<file path=docProps/custom.xml><?xml version="1.0" encoding="utf-8"?>
<Properties xmlns="http://schemas.openxmlformats.org/officeDocument/2006/custom-properties" xmlns:vt="http://schemas.openxmlformats.org/officeDocument/2006/docPropsVTypes"/>
</file>