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līdz 2027. gada 30. jūnijam – sagatavoti latviešu valodas kā svešvalodas skolotāji pieaugušajiem – vismaz 120 (ar elastības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6.2.apakšpunktā noteiktā nacionālā rādītāja sasniegšanas termiņu ar informāciju anotācijā (anotācijā norādīts sasniegšanas termiņš līdz 2029.gada 31.decembrim).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iesnieguma iesniedzējam 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pienākumu finansējuma saņēmējam izstrādāt nosacījumus, kā tas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Kā arī, aicinām noteikumos iekļauj prasību, ka finansējuma saņēmējs un sadarbības partneris paraksta interešu konflikta neesamības apliecinājumu. Vēršam uzmanību, ka finansējuma saņēmējam un sadarbības partnerim, cita starpā jānodrošina, ka, īstenojot projektu, neiestājas interešu konflikts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projektu īsteno sadarbībā ar Latviešu valodas aģentūru. Finansējuma saņēmējs sadarbības partneri iesaista šo noteikumu 17.1.1. apakšpunktā minētās atbalstāmās darbības īstenošanā. Finansējuma saņēmējs kā projekta ekspertus piesaista arī citu Latvijas vai ārvalstu augstskolu docētājus.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14.punktā minēto ekspertu lomu projekta īstenošanā, kā arī norādīt kādi būs to pienākumi. Nepieciešamības gadījumā aicinām precizēt noteikumu projektu un papildināt anotāciju ar atbilstošu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mērķauditorijas piesaistes un komunikācijas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15.1. apakšpunktu ar termina “mērķauditorijas piesaistes un komunikācijas plāns” skaidrojumu, papildus sniegt informāciju vai plānam jābūt saskaņotam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4.2.2.7. pasākuma īstenošanu regulējošajos MK noteikumos šis apakšpunkts tika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Pastare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18.1.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un izvērtēt lietderību jaunas/ atsevišķas vienkāršoto izmaksu metodikas izstrādei personāla atlīdzības izmaksu segšanai, ņemot vērā ka 4.2.2.7. pasākuma ietvaros jau ir izstrādāta (pašlaik vēl saskaņošanā) metodika un arī tajā ir izstrādātas likmes personāla atlīdzības izmaksām, kur finansējuma saņēmējs arī ir Latvijas Universitāte.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projekta vadības personāla atlīdzības izmaksas (izņemot virsstundas) šo noteikumu 17.2. un 17.3. apakšpunktā  minēto atbalstāmo darbību īstenošanai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iespējas 19.1.1. un 19.1.2. apakšpunktā minētajām izmaksām piemērot Regulas Nr.2021/1060 55. panta 1.punktā noteikto iespēju, tas ir, izmantot vienoto likmi līdz 20% personāla izmaksu segšanai (bez vienkāršoto izmaksu metodikas izstrādes). Vēršam uzmanību, ka attiecīgās likmes piemērošanas gadījumā tā apmērs jāsaskaņo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projekta īstenošanas personāla atlīdzības izmaksas (izņemot virsstundas) šo noteikumu 17.1. apakšpunktā minēto atbalstāmo darbību īstenošanai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19.1.2. apakšpunktu, norādot, vai izmaksas paredzētas finansējuma saņēmēja un/vai sadarbības partnera projekta īstenošanas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projekta vadības vai īstenošanas personāls ir nodarbināts projektā normālo darba laiku uz darba līguma pamata. Ja projekta vadības vai īstenošanas personāls ir nodarbināts nepilnu darba laiku vai daļlaiku, jaunradītas darba vietas aprīkojuma iegādes vai nomas izmaksas ir attiecināmas proporcionāli darba slodzes procentuālajam sadalījumam;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19.3. apakšpunktu, norādot, vai izmaksas paredzētas finansējuma saņēmēja un/vai sadarbības partnera projekta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projekta vadības vai īstenošanas personāls ir nodarbināts projektā normālo darba laiku uz darba līguma pamata. Ja projekta vadības vai īstenošanas personāls ir nodarbināts nepilnu darba laiku vai daļlaiku, jaunradītas darba vietas aprīkojuma iegādes vai nomas izmaksas ir attiecināmas proporcionāli darba slodzes procentuālajam sadalījumam;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Vadlīniju Nr. 1.2. "Vadlīnijas attiecināmo izmaksu noteikšanai Eiropas Savienības kohēzijas politikas programmas 2021.-2027.gada plānošanas periodā" 33.punktam, daļlaika izmaksu attiecināšanas principa gadījumā jāņem vērā darbinieka iesaistes periods projektā pret projekta kopējo īstenošanas ilgumu un daļlaika proporcija darbam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Pievienotās vērtības nodoklis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64.panta 1.punkta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vienkāršoto pieeju pievienotās vērtības nodokļa attiecināšanā, lūdzam anotācijā papildināt ar skaidrojumu, norādot, ka tiks nodrošināts dubultā finansējuma novēršanas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ietvaros finansējuma saņēmējam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projekta 23. punkts paredz, ka izmaksas ir attiecināmas pirms projekta iesnieguma apstiprināšanas, lūdzam papildināt anotāciju, sniedzot pamatojumu,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attiecināmas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projekta īstenošanas laikā finansējuma saņēmējam ir paredzēts avanss, to var izmaksāt pa daļām. Viens avansa maksājums nepārsniedz 30 procentus no projektam piešķirtā Eiropas Sociālā fonda Plus finansējuma un valsts budžeta līdzfinansējuma kopsummas. Finansējuma saņēmējam  avansa un starpposma maksājumu kopsumma var būt 100 procenti no projektam piešķirtā Eiropas Sociālā fonda Plus finansējuma un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izsvērti pamatot šāda avansa un starpposma maksājuma kopsummas (100 procenti) apmēra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projekta īstenošanas laikā finansējuma saņēmējam ir paredzēts avanss, to var izmaksāt pa daļām. Viens avansa maksājums nepārsniedz 30 procentus no projektam piešķirtā Eiropas Sociālā fonda Plus finansējuma un valsts budžeta līdzfinansējuma kopsummas. Finansējuma saņēmējam  avansa un starpposma maksājumu kopsumma var būt 100 procenti no projektam piešķirtā Eiropas Sociālā fonda Plus finansējuma un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skaidri noteikt, vai finansējuma saņēmējam tiek paredzēts avansa maksājums, vai nē. Kā arī lūdzam papildināt noteikumus ar avansa izmaksas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Projektu īsteno saskaņā ar noslēgto vienošanos par projekta īstenošanu,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īstenošana būs saistīta ar studiju gadu un ka studiju gads noslēdzas jūnija beigās, vienlaikus, ņemot vērā 2021-2027 plānošanas perioda noslēgumu, lūdzam noteikt samērīgu projekta īstenošanas termiņu, piemēram, 31.08.2029.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Finansējuma saņēmējs pasākuma ietvaros īsteno projektu, kas nav saistīts ar saimnieciskās darbības veikšanu, taču anotācijā nav ietverta informācija, kā tika secināts, ka Latvijas Universitāte īstenos ar saimniecisko darbību nesaistītu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komercdarbības  atbalsta kontroles kontekstā, ka, veicot izvērtējumu par komercdarbības atbalsta (ne)esamību, piešķirot finansējumu Latvijas Universitātes izstrādātai un īstenotai latviešu valodas studiju programmai, kas nodrošina latviešu valodas kā svešvalodas skolotāju pieaugušajiem sagatavošanu, ir nepieciešams konstatēt, vai programma tiks/netiks īstenota kā vispārējās izglītības sistēmas daļa un vai Latvijas Universitāte ir/nav kvalificējama kā saimnieciskās darbības veicējs, lai varētu secināt, vai atbalsts tiks piešķirts projektam, kas nav saistīts 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Komisijas dokumenta “Komisijas paziņojums par Līguma par Eiropas Savienības darbību 107. panta 1. punktā minēto valsts atbalsta jēdzienu” (2016/C 262/01) (turpmāk – EK paziņojums) 28.punktam </w:t>
            </w:r>
            <w:r w:rsidR="00000000" w:rsidRPr="00000000" w:rsidDel="00000000">
              <w:rPr>
                <w:u w:val="single"/>
                <w:rtl w:val="0"/>
              </w:rPr>
              <w:t xml:space="preserve">valsts izglītības sistēmas ietvaros nodrošināta valsts izglītība</w:t>
            </w:r>
            <w:r w:rsidR="00000000" w:rsidRPr="00000000" w:rsidDel="00000000">
              <w:rPr>
                <w:rtl w:val="0"/>
              </w:rPr>
              <w:t xml:space="preserve">, ko finansē un uzrauga valsts, var tikt uzskatīta par nesaimniecisko darbību. Vienlaikus vēršam uzmanību uz EK paziņojuma 29.punktu, kurā norādīts, ka arī gadījumos, ja skolēnu vecāki sedz daļu (t.i., ne vairāk kā 50% apmērā) no mācību vai uzņemšanas maksas, kas aptver tikai daļu no konkrētā pakalpojuma patiesajām izmaksām, šāda samaksa nav uzskatāma par atlīdzību par sniegto pakalpojumu, tādējādi, ja tiks konstatēts, ka </w:t>
            </w:r>
            <w:r w:rsidR="00000000" w:rsidRPr="00000000" w:rsidDel="00000000">
              <w:rPr>
                <w:u w:val="single"/>
                <w:rtl w:val="0"/>
              </w:rPr>
              <w:t xml:space="preserve">studiju maksas un citi ieņēmumi no izglītības pakalpojumu sniegšanas nepārsniedz 50% robežvērtību</w:t>
            </w:r>
            <w:r w:rsidR="00000000" w:rsidRPr="00000000" w:rsidDel="00000000">
              <w:rPr>
                <w:rtl w:val="0"/>
              </w:rPr>
              <w:t xml:space="preserve">, un attiecīgi - ka plānotais atbalsts tiek piešķirts Latvijas Universitātei nesaimnieciskās darbības veikšanai, tad nepieciešams papildināt anotāciju ar šo informāciju, kā arī anotācijā skaidrot, ka/kā tiks nodalītas saimnieciskās un nesaimnieciskās darbības izmaksas un ieņēmumi. Savukārt, ja, balstoties uz finanšu datiem, tiktu secināts, ka Latvijas Universitātei plānotais atbalsts tiks piešķirts tās saimnieciskās darbības veikšanai, ir jāprecizē noteikumu 31.punkts.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komercdarbības atbalsta esamību potenciāli var izslēgt, jo neizpildās komercdarbības atbalsta ceturtā pazīme (Komercdarbības atbalsta kontroles likuma 5.panta 4.punkts), proti, ja iepriekš secināts, ka atbalsts tiks sniegts saimnieciskās darbības veicējam, ir nepieciešams veikt uz objektīvi pamatotiem datiem balstītu izvērtējumu par ietekmi uz konkurenci un tirdzniecību Eiropas Savienības iekšējā tirgū. Ja vienlaikus izpildās visas Komercdarbības atbalsta kontroles likuma 5.pantā minētās komercdarbības atbalsta pazīmes, tad plānotais atbalsts (latviešu valodas studiju programmas finansēšana) kvalificējams kā komercdarbības atbalsts, un ir jāpapildina noteikumi ar attiecīgā komercdarbības atbalsta regulējuma prasībām, saskaņā ar kuru tiks nodrošināta piešķiramā komercdarbības atbalsta likumība.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attiecībā uz nacionālajiem rādītājiem papildināt ar informāciju, ka atbildību par uzkrāto nacionālo rādītāju datu ticamību uzņemas finansējuma saņēmējs un sadarbības iestāde neveic šo datu pārbaudi, ka uzkrātie dati ir informatīvi un kalpo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 atbilstoši noteikumu projekta 16. punktā noteiktajam pēc projekta iesnieguma apstiprināšanas finansējuma saņēmējs ar sadarbības partneri slēdz sadarbības līgumu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Pastare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noteikumu projekta 19.1. apakšpunktā norādītā vienkāršoto izmaksu metodika tiks apstiprināta līdz atlases izsludināšanai. Attiecīgi lūdzam norādīt, ka gadījumā, ja līdz atlases izsludināšanai vienkāršoto izmaksu metodika nebūs apstiprināta, projekta iesniegumu atlasē netiks veikta vadības personāla atlīdzības izmaksu apmēra pamatotības analīze.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Pastare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Eiropas Sociālā fonda Plus projekta (turpmāk – projekts) iesniedzējam 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1.3.apakšpunktu ar vārdiem "</w:t>
            </w:r>
            <w:r w:rsidR="00000000" w:rsidRPr="00000000" w:rsidDel="00000000">
              <w:rPr>
                <w:rtl w:val="0"/>
              </w:rPr>
              <w:t xml:space="preserve">finansējuma saņēmējam" aiz vārda "iesniedzējam", ņemot vērā, ka noteikumu projektā ir ietvertas prasības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Eiropas Sociālā fonda Plus projekta (turpmāk – projekts) iesniedzējam, finansējuma saņēmējam un projekta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ar vārdiem "plānoto un</w:t>
            </w:r>
            <w:r w:rsidR="00000000" w:rsidRPr="00000000" w:rsidDel="00000000">
              <w:rPr>
                <w:rtl w:val="0"/>
              </w:rPr>
              <w:t xml:space="preserve">" aiz vārda "pasākumu", ņemot vērā, ka noteikumu projektā ir noteikts arī plānotā finansējuma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plānoto un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mērķa grupa ir personas ar latviešu valodas prasmi vismaz vidējā līmeņa 2. pakāpē (B2) un vismaz vienu no šādām izglītībām: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pasākuma ietvaros plānota mērķa grupas personu demarkācija ar, piemēram, jaunajiem pedagogiem, kas saņems indukcijas gada atbalstu 4.2.2.7. pasākuma "Indukcijas gada ieviešana pedagogu sagatavošanas studiju programmās" ietvaros, vai personām, kas saņēmušas atbalstu ES fondu 2014. - 2020. gada plānošanas perioda 8.2.1. specifiskā atbalsta mērķa "Samazināt studiju programmu fragmentāciju un stiprināt resursu koplietošanu" projekta "Mācītspēks"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5. un 6. punkta redakciju, izsakot tos vienā punktā atbilstoši Vadošās iestādes vadlīnijām “Vadlīnijas Ministru kabineta noteikumu par specifiskā atbalsta mērķa īstenošanu izstrādei”, t.i., noteikumu projekta 6. punktu izsakot kā 5.3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programmas iznākuma rādītājs līdz 2029. gada 31. decembrim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programmas rezultāta rādītājs līdz 2029. gada 31. decembrim – iestādes, kas ieviesušas uzlabojumus izglītības un mācību sistēmu kvalitātei, efektivitātei un atbilstībai darba tirgum,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nacionālie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līdz 2024. gada 31. decembrim – izstrādāta un licencēta latviešu valodas kā svešvalodas studiju programma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līdz 2027. gada 30. jūnijam – sagatavoti latviešu valodas kā svešvalodas skolotāji pieaugušajiem – vismaz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Pasākumu īsteno vienā projektu iesniegumu atlases kārtā par visu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plānoto atbalsta veidu (grantu atbalsts,  finanšu instrumentu atbalsts, kombinēto finanšu instrumentu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(turpmāk – atlases nolikums) noteiktajām prasībām un iesniedz to sadarbības iestādē, izmantojot Kohēzijas politikas fondu vadības informācijas sistēmas elektronisko vidi. Papildus atlases nolikumā noteiktajām prasībām projekta iesniedzējs pielikumā pievieno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15.punkta redakciju, papildot, ka projekta iesniedzējs pievieno dokumentus </w:t>
            </w:r>
            <w:r w:rsidR="00000000" w:rsidRPr="00000000" w:rsidDel="00000000">
              <w:rPr>
                <w:b w:val="1"/>
                <w:u w:val="single"/>
                <w:rtl w:val="0"/>
              </w:rPr>
              <w:t xml:space="preserve">projekta iesnieguma </w:t>
            </w:r>
            <w:r w:rsidR="00000000" w:rsidRPr="00000000" w:rsidDel="00000000">
              <w:rPr>
                <w:rtl w:val="0"/>
              </w:rPr>
              <w:t xml:space="preserve">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maksājumu veikšanas kārtība šo noteikumu 17.1. apakšpunktā minēto atbalstāmo darbību īstenošanai un attiecināmo tiešo un netiešo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16.2.apakšpunktu, jo dublē MK noteikumu "Kārtība, kādā Eiropas Savienības fondu vadībā iesaistītās institūcijas nodrošina šo fondu ieviešanu 2021.–2027.gada plānošanas periodā" (šobrīd saskaņošanas stadijā) 6.2.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kārtība un termiņi, kādā no sadarbības partnera atgūst neatbilstoši veiktos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16.3.apakšpunktu, jo dublē MK noteikumu "Kārtība, kādā Eiropas Savienības fondu vadībā iesaistītās institūcijas nodrošina šo fondu ieviešanu 2021.–2027.gada plānošanas periodā" (šobrīd saskaņošanas stadijā) 6.4.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pārskatu un citas informācijas aprites un glabāšanas kārtība un termiņi.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16.4.apakšpunktu, jo dublē MK noteikumu "Kārtība, kādā Eiropas Savienības fondu vadībā iesaistītās institūcijas nodrošina šo fondu ieviešanu 2021.–2027.gada plānošanas periodā" (šobrīd saskaņošanas stadijā) 6.3.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projekta īstenošanas laikā atbildīgā iestāde vai vadošā iestāde izstrādā vienkāršoto izmaksu metodiku kādām no šo noteikumu 19. punktā minētajām izmaksām, tad tām piemēro atbildīgās vai vadošās iestādes izstrādāto metodiku atbilstoši metodikā noteiktajam spēkā stāšanās laikam un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aizstājot vārdu " laikam" ar vārdu "brīdim".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īstenošanas laikā atbildīgā iestāde vai vadošā iestāde izstrādā vienkāršoto izmaksu metodiku kādām no šo noteikumu 19. punktā minētajām izmaksām, tad tām piemēro atbildīgās vai vadošās iestādes izstrādāto metodiku atbilstoši metodikā noteiktajam spēkā stāšanās brīdim un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slēdz līgumu ar pretendentiem, kuri atbilst šo noteikumu 3.punkta nosacījumiem, par dalību projektā un mērķstipendijas saņemšanu. Līgumā nosaka pušu tiesības, pienākumus un atbildību projekta īstenošanā un mērķstipendijas izmaksas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atbildīgais par projekta īstenošanu ir finansējuma saņēmējs. Attiecīgi lūdzam precizēt noteikumu projekta 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slēdz līgumu ar pretendentiem, kuri atbilst šo noteikumu 3.punkta nosacījumiem, par dalību projektā un mērķstipendijas saņemšanu. Līgumā nosaka pušu tiesības, pienākumus un atbildību projekta īstenošanā un mērķstipendijas izmaksas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norisināsies pretendentu atlase ar kuriem finansējuma saņēmējs slēgs līgumu. nepieciešamības gadījumā lūdzam papildināt noteikumu projektu un ar atbilstošu skaidrojumu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īstenošanas uzraudzībai Izglītības un zinātnes ministrija izveido projekta uzraudzības padomi, kurā uzaicina piedalīties Kultūras ministrijas, Sabiedrības integrācijas fonda un Izglītības kvalitātes valsts dienesta pārstāvjus. Projekta uzraudzības padomes sastāvā novērotāju statusā var tikt iekļauti pārstāvji arī no citām organizācijām un institūcijām, tai skaitā no Finanšu ministrijas un Centrālās finanšu un līgumu aģentūras. Padomes darbību nosaka Izglītības un zinātnes ministrijas izstrādāts un apstiprināts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Finanšu ministrijas un Centrālās finanšu un līguma aģentūras pārstāvjiem jāsaprot pārstāvjus no Vadošās iestādes un Sadarbības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jā, tad lūdzam izvērtēt iespēju svītrot Vadošās iestādes pārstāvjus no iespējamo novērotāju saraksta Izglītības un zinātnes ministrijas izveidotajā projekta uzraudzības padomē.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nodrošina informācijas un publicitātes pasākumus saskaņā ar Regulas Nr.2021/1060  47. un 50. pantu un normatīvajiem aktiem, kas nosaka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dzēšot vārdus “normatīvajiem aktiem, kas nosaka”.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atbalstu saņēmušām  šo noteikumu 3. punktā minētajām personām saskaņā ar Eiropas Parlamenta un Padomes 2021. gada 24. jūnija Regulas (ES) Nr. 2021/1057, ar ko izveido Eiropas Sociālo fondu Plus (ESF+) un atceļ Regulu (ES) Nr. 1296/2013 I un II pielikumu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regulas II pielikumu, jo Eiropas Parlamenta un Padomes 2021. gada 24. jūnija Regulas (ES) Nr. 2021/1057, ar ko izveido Eiropas Sociālo fondu Plus (ESF+) un atceļ Regulu (ES) Nr. 1296/2013 II pielikums attiecas tikai uz 4.panta 1.punkta specifiskā atbalsta mērķi 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atbalstu saņēmušām  šo noteikumu 3. punktā minētajām personām saskaņā ar Eiropas Parlamenta un Padomes 2021. gada 24. jūnija Regulas (ES) Nr. 2021/1057, ar ko izveido Eiropas Sociālo fondu Plus (ESF+) un atceļ Regulu (ES) Nr. 1296/2013 I un II pielikumu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36.3.apakšpunktu, ka dati tiek uzkrāti saskaņā ar normatīvo aktu, kas nosaka Eiropas Savienības fondu projektu pārbaužu veikšanas kārtību 2021.–2027. gada plānošanas periodā </w:t>
            </w:r>
            <w:r w:rsidR="00000000" w:rsidRPr="00000000" w:rsidDel="00000000">
              <w:rPr>
                <w:u w:val="single"/>
                <w:rtl w:val="0"/>
              </w:rPr>
              <w:t xml:space="preserve">pirmo pielikumu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norādot kārtību, kādā finansējuma saņēmējs ziņo par noteikumu projekta 6.punktā norādītajiem nacionālajiem rādītājiem Kohēzijas politikas fondu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Nacionālos rādītājus finansējuma saņēmējs ievada Kohēzijas politikas fondu vadības informācijas sistēmā, iesniedzot maksājuma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anotācijas 1.3. sadaļas "Risinājuma apraksts" izrietošo informāciju, ka Latvijas universitāte (LU) ir izvēlēts kā projekta vadošais partneris. Kāda būs LU loma projektā kā </w:t>
            </w:r>
            <w:r w:rsidR="00000000" w:rsidRPr="00000000" w:rsidDel="00000000">
              <w:rPr>
                <w:u w:val="single"/>
                <w:rtl w:val="0"/>
              </w:rPr>
              <w:t xml:space="preserve">vadošajam partnerim, </w:t>
            </w:r>
            <w:r w:rsidR="00000000" w:rsidRPr="00000000" w:rsidDel="00000000">
              <w:rPr>
                <w:rtl w:val="0"/>
              </w:rPr>
              <w:t xml:space="preserve">ņemot vērā, ka LU ir noteikts kā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sadaļu "Juridiskās personas" papildināt ar Latviešu valodas aģentūru, ņemot vērā, ka tā pasākumā plānota kā sadarbības partneris.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īstenotie projekti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Programmā norādītajam, 4.2.2.SAM paredzētās darbības var sniegt ieguldījumu ESSBJR politikas virziena “Izglītība”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22-TA-3068</w:t>
    </w:r>
    <w:r>
      <w:br/>
    </w:r>
    <w:r w:rsidR="00000000" w:rsidRPr="00000000" w:rsidDel="00000000">
      <w:rPr>
        <w:rtl w:val="0"/>
      </w:rPr>
      <w:t xml:space="preserve">Izdrukāts 19.05.2023.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22-TA-3068</w:t>
    </w:r>
    <w:r>
      <w:br/>
    </w:r>
    <w:r w:rsidR="00000000" w:rsidRPr="00000000" w:rsidDel="00000000">
      <w:rPr>
        <w:rtl w:val="0"/>
      </w:rPr>
      <w:t xml:space="preserve">Izdrukāts 19.05.2023.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Atzinumi_22-TA-3068.docx</dc:title>
</cp:coreProperties>
</file>

<file path=docProps/custom.xml><?xml version="1.0" encoding="utf-8"?>
<Properties xmlns="http://schemas.openxmlformats.org/officeDocument/2006/custom-properties" xmlns:vt="http://schemas.openxmlformats.org/officeDocument/2006/docPropsVTypes"/>
</file>