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22-TA-1941: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17. marta noteikumos Nr. 145 "Prasības mazumtirdzniecības uzņēmumiem, kas piegādā mājputnu olas vai ziedo dzīvnieku izcelsmes pārtiku"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1.3. apakšpunktu, jo tajā pēc labojumu veikšanas šķietami konstatējama informācijas dublēšanās. Piemēram, grozījumi Ministru kabineta 2020. gada 17. marta noteikumu Nr. 145 "Prasības mazumtirdzniecības uzņēmumiem, kas piegādā mājputnu olas vai ziedo dzīvnieku izcelsmes pārtiku" (turpmāk - Noteikumi Nr.145) 1.1.apakšpunktā norādīti anotācijas 1.3. apakšpunktā gan pie pirmās problēmas risinājuma (pirmās rindkopas pēdējais teikums), gan pie ceturtās problēmas risinājuma (otrās rindkopas pirmais teikums).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anotāciju atbilstoši juridiskās tehnikas prasībām, ievērojot, ka saīsinājumus piesaka pirmajā vietā juridiskajā tekstā, kur lietots attiecīgais saīsināmais jēdziens vai termins. Tāpat pieteiktie saīsinājumi konsekventi lietojami tālāk dokumenta tekstā. Minētais attiecas tostarp saīsinājumu "Regula Nr.853/2004", kurš tiek lietots jau pirms tā pieteikšanas.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5.4. apakšpunkta 1.tabulas daļu "5. punkta "b" apakšpunkta "ii" apakšpunkts" ar norādi uz konkrēto pantu, kura 5. punkts norādīts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Citas starptautiskās saistības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ņemot vērā anotācijas 5.2. apakšpunktā konkrēti nenorādītās "citas starptautiskās saistības" lūdzam precizēt šo apakšpunktu (norādot, ka attiecīgā sadaļa </w:t>
            </w:r>
            <w:r w:rsidR="00000000" w:rsidRPr="00000000" w:rsidDel="00000000">
              <w:rPr>
                <w:u w:val="single"/>
                <w:rtl w:val="0"/>
              </w:rPr>
              <w:t xml:space="preserve">nav</w:t>
            </w:r>
            <w:r w:rsidR="00000000" w:rsidRPr="00000000" w:rsidDel="00000000">
              <w:rPr>
                <w:rtl w:val="0"/>
              </w:rPr>
              <w:t xml:space="preserve"> attiecināma). Tāpat, nenorādot citas starptautiskās saistības, nav nepieciešams aizpildīt arī anotācijas 5.5. apakšpunktu, attiecīgi lūdzam dzēst 2. tabulu.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 145 sākotnējās anotācijas 5.4. apakšpunkta 1. tabulai Eiropas Parlamenta un Padomes 2004. gada 29. aprīļa Regulas (EK) Nr. 853/2004, ar ko nosaka īpašus higiēnas noteikumus attiecībā uz dzīvnieku izcelsmes pārtiku prasībām 1.panta 5.punkta „b” apakšpunkta „ii” apakšpunkts tiek ieviests ar visu Noteikumu Nr.145 redakciju. Savukārt, atbilstoši aktuālā projekta anotācijas  5.4. apakšpunkta 1. tabulai, iepriekš minētais 1.panta 5.punkta „b” apakšpunkta „ii” apakšpunkts tiek ieviests tikai   Noteikumi Nr.145 1. punktā. Attiecīgi lūdzam pārskatīt konkrēto projekta apakšpunktu un nepieciešamības gadījumā veikt precizējumus vai sniegt skaidrojumus.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5.4. apakšpunkta 1. tabulā "B" ailē konsekventi norādīt projekta vienības, kas pārņem vai ievieš konkrētās Eiropas Savienības tiesību normas. Pašreizējā redakcijā 1. tabulas "B" ailēs tiek norādīts gan grozāmo  Ministru kabineta noteikumu punkts, gan konkrētā projekta punkts, gan, projekta numerācijā neesošs, projekta 1.1.apakšpunkts.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22-TA-1941</w:t>
    </w:r>
    <w:r>
      <w:br/>
    </w:r>
    <w:r w:rsidR="00000000" w:rsidRPr="00000000" w:rsidDel="00000000">
      <w:rPr>
        <w:rtl w:val="0"/>
      </w:rPr>
      <w:t xml:space="preserve">Izdrukāts 15.03.2023. 14.32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22-TA-1941</w:t>
    </w:r>
    <w:r>
      <w:br/>
    </w:r>
    <w:r w:rsidR="00000000" w:rsidRPr="00000000" w:rsidDel="00000000">
      <w:rPr>
        <w:rtl w:val="0"/>
      </w:rPr>
      <w:t xml:space="preserve">Izdrukāts 15.03.2023. 14.32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Atzinumi_22-TA-1941.docx</dc:title>
</cp:coreProperties>
</file>

<file path=docProps/custom.xml><?xml version="1.0" encoding="utf-8"?>
<Properties xmlns="http://schemas.openxmlformats.org/officeDocument/2006/custom-properties" xmlns:vt="http://schemas.openxmlformats.org/officeDocument/2006/docPropsVTypes"/>
</file>