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25.punktu ar nosacījumu, ka finansējuma saņēmējs uzkrāj, uzskaita un iesniedz sadarbības iestādē apkopotus datus par atbalstu saņēmušajām šo noteikumu 8.1. apakšpunktā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uzskaita un iesniedz sadarbības iestādē apkopotus datus par atbalstu saņēmušajām šo noteikumu 8.1. apakšpunktā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"Projekta īstenošanas nosacījumi" ar informāciju par Vides aizsardzības un reģionālās attīstības ministrijas funkciju nodalīšanu kā atbildīgajai iestādei un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par izmaksu un ieguvumu analīzes nepieciešamību, skaidrojot projekta ieguldījumus arī no lietderīguma aspekta. Lūdzam skaidrot gan kvantitatīvi, gan kvalitatīvi. Šobrīd plānots, ka vidēji uz vienu apmācīto personu tiks tērēti 2,3 tūkst euro (nedaudz mazāk nekā izmaksas par vienu mācību gadu augstskolā), bet būtu jāsaprot, ko ietver plānotie ieguldījumi un kāds ir plānotais ieguvums sabiedrībai no vismaz 1867 izglītotākām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ierosināti grozījumi Eiropas Savienības kohēzijas politikas programmā 2021.-2027.gadam par noteikumu projekta 8.1.apakšpunktā minēto uzraudzības rādītāju, lūdzam papildināt protokollēmuma projektu ar rīcību gadījumā, ja netiek saņemts Eiropas Komisijas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anotāciju papildināt ar informāciju par pieteikto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informēt Ministru kabinetu par priekšlikumiem rīcībai gadījumā, ja netiek saņemts pozitīvs Eiropas Komisijas lēmums par grozījumiem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nacionālie rezultāta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8.2.apakšpunktā svītrot vārdu "rezultāta".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pieejamais kopējais finansējums ir 3 651 330 </w:t>
            </w:r>
            <w:r w:rsidR="00000000" w:rsidRPr="00000000" w:rsidDel="00000000">
              <w:rPr>
                <w:i w:val="1"/>
                <w:rtl w:val="0"/>
              </w:rPr>
              <w:t xml:space="preserve">euro</w:t>
            </w:r>
            <w:r w:rsidR="00000000" w:rsidRPr="00000000" w:rsidDel="00000000">
              <w:rPr>
                <w:rtl w:val="0"/>
              </w:rPr>
              <w:t xml:space="preserve">, tai skaitā Eiropas Sociālā fonda Plus finansējums 3 103 630 </w:t>
            </w:r>
            <w:r w:rsidR="00000000" w:rsidRPr="00000000" w:rsidDel="00000000">
              <w:rPr>
                <w:i w:val="1"/>
                <w:rtl w:val="0"/>
              </w:rPr>
              <w:t xml:space="preserve">euro</w:t>
            </w:r>
            <w:r w:rsidR="00000000" w:rsidRPr="00000000" w:rsidDel="00000000">
              <w:rPr>
                <w:rtl w:val="0"/>
              </w:rPr>
              <w:t xml:space="preserve"> un valsts budžeta līdzfinansējums 547 700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viennozīmīgu interpretāciju, lūdzam precizēt noteikumu projekta 10.punktu un to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Projektu iesniegumos pasākuma īstenošanai kopējo pasākuma pieejamo finansējumu plāno ne vairāk kā 3 651 330 </w:t>
            </w:r>
            <w:r w:rsidR="00000000" w:rsidRPr="00000000" w:rsidDel="00000000">
              <w:rPr>
                <w:i w:val="1"/>
                <w:rtl w:val="0"/>
              </w:rPr>
              <w:t xml:space="preserve">euro</w:t>
            </w:r>
            <w:r w:rsidR="00000000" w:rsidRPr="00000000" w:rsidDel="00000000">
              <w:rPr>
                <w:rtl w:val="0"/>
              </w:rPr>
              <w:t xml:space="preserve">, tai skaitā Eiropas Sociālā fonda Plus finansējumu 3 103 630 </w:t>
            </w:r>
            <w:r w:rsidR="00000000" w:rsidRPr="00000000" w:rsidDel="00000000">
              <w:rPr>
                <w:i w:val="1"/>
                <w:rtl w:val="0"/>
              </w:rPr>
              <w:t xml:space="preserve">euro</w:t>
            </w:r>
            <w:r w:rsidR="00000000" w:rsidRPr="00000000" w:rsidDel="00000000">
              <w:rPr>
                <w:rtl w:val="0"/>
              </w:rPr>
              <w:t xml:space="preserve"> un valsts budžeta līdzfinansējumu 547 700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Vides aizsardzības un reģionālās attīstības ministrija kā par digitālo transformāciju atbildīgā nozares ministrija. Ja sadarbības iestāde apstiprina projekta iesniegumu un noslēdz vienošanos par projekta īstenošanu, projekta iesniedzējs ir arī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 panta 3. punktu persona, kuras projekta iesniegums ir apstiprināts,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izteikt noteikumu projekta 12. punkta otro teikumu šādā redakcijā: "Ja sadarbības iestāde apstiprina projekta iesniegumu, projekta iesniedzējs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sadarbības iestāde apstiprina projekta iesniegumu, projekta iesniedzējs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īstenošanā projekta iesniedzējs par sadarbības partneri var piesaistīt tiešās vai pastarpinātās pārvaldes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projektā galvenās prasības, kādām ir jāatbilst sadarbības partnerim, ņemot vērā, ka šobrīd noteikumu 13. punktā ietvertā norāde, ka par sadarbības partneri var piesaistīt tiešās vai pastarpinātās pārvaldes iestādi, ir vispārīga. Tostarp lūdzam norādīt finansējuma saņēmēja un sadarbības partnera sadarbības pamatprincipus, pienākumus un tiesības, mērķu un rādītāju savstarpējo sasniegšanas dalījumu (ja attiecināms). Aicinām skaidri norādīt sadarbības partnera veicamās darbības un resursus, ar kādiem tas iesaistās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projekta iesniedzējs projekta īstenošanā piesaista vienu vai vairākus sadarbības partnerus, projekta iesniegumā pamato projekta ietvaros plānotās partnerības nepieciešamību. Finansējuma saņēmējs un sadarbības partneris (ja attiecināms) slēdz sadarbības līgumu saskaņā ar normatīvo aktu,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14. punktā iekļauta atruna "ja attiecināms", lūdzam papildināt anotāciju ar atbilstošu informāciju, kādos gadījumos var netikt slēgts sadarbības līgums, vai arī svītrot noteikumu projekta 14. punktā minēto atrunu.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kā finansējuma saņēmējs pārbaudīs mērķa grupas dalībnieka (fiziskas personas) atbilstību dalībai projektā (piemēram, IT sistēmā, vai veicot noteiktu dokumentu pārbaudi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tiek pieļauta iespēja piesaistīt sadarbības partneri, nepieciešams precizēt, kuras izmaksas būtu attiecināmas uz finansējuma saņēmēju un kuras -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20. punkts nebūtu papildināms ari ar izmaksu pozīciju attiecībā uz komunikācijas un vizuālās identitātes prasību nodrošināšanas pasākumiem par projekta īstenošanu (noteikumu projekta 17.7. apakšpunktā minētā atbalstāmā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projekta vadības un īstenošanas personāla darba vietu aprīkojuma, biroja mēbeļu, tehnikas, datorprogrammu un licenču iegādes vai īres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iegādes vai īres izmaksas ir attiecināmas proporcionāli darba slodzes procentuālajam sadalījumam, bet daļlaika noslodzes gadījumā – ņemot vērā darbinieka iesaistes periodu projektā pret kopējo projekta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20.3.apakšpunktu aiz vārda "aprīkojuma" ar vārdiem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attiecīgu precizējumu veikt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projekta vadības un īstenošanas personāla darba vietu aprīkojuma</w:t>
            </w:r>
            <w:r w:rsidR="00000000" w:rsidRPr="00000000" w:rsidDel="00000000">
              <w:rPr>
                <w:b w:val="1"/>
                <w:rtl w:val="0"/>
              </w:rPr>
              <w:t xml:space="preserve"> vai gadījumos, ja esošo darba vietu aprīkojums ir nolietojies un tiek norakstīts,</w:t>
            </w:r>
            <w:r w:rsidR="00000000" w:rsidRPr="00000000" w:rsidDel="00000000">
              <w:rPr>
                <w:rtl w:val="0"/>
              </w:rPr>
              <w:t xml:space="preserve"> biroja mēbeļu, tehnikas, datorprogrammu un licenču iegādes vai īres izmaksas ne vairāk kā 3 000 euro 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w:t>
            </w:r>
            <w:r w:rsidR="00000000" w:rsidRPr="00000000" w:rsidDel="00000000">
              <w:rPr>
                <w:b w:val="1"/>
                <w:rtl w:val="0"/>
              </w:rPr>
              <w:t xml:space="preserve">vai gadījumos, ja esošo darba vietu aprīkojums ir nolietojies un tiek norakstīts</w:t>
            </w:r>
            <w:r w:rsidR="00000000" w:rsidRPr="00000000" w:rsidDel="00000000">
              <w:rPr>
                <w:rtl w:val="0"/>
              </w:rPr>
              <w:t xml:space="preserve">, iegādes vai īres izmaksas ir attiecināmas proporcionāli darba slodzes procentuālajam sadalījumam, bet daļlaika noslodzes gadījumā – ņemot vērā darbinieka iesaistes periodu projektā pret kopējo projekta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20.5.1. lektoru, ekspertu, konsultantu, moderatoru atlīdzība (ieskaitot honorārus, ceļošanas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lektoru, ekspertu, konsultantu, moderatoru atlīdzības izmaksas nav uzskatāmas par īstenošanas personāla izmaksām un vai šie eksperti tiks piesaistīti kā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noteikumu projekta 17.7.apakšpunktā minēto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sadarbības partneris (ja attiecināms) nodrošina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saņēmējs izveidos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nodrošina, lai pasākuma ietvaros plānotais atbalsts nepārklātos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26.punktu aiz vārda "nodrošina" ar vārdiem "dubultā finansējuma neiestāšanos,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dubultā finansējuma neiestāšanās nodrošināma ne tikai kontekstā ar darbību finansēšanu no citiem finanšu atbalsta instrumentiem, bet arī konkrētajam projektam piešķirtā finansējuma ietvaros darbības nedrīkst tikt finansētas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nodrošina </w:t>
            </w:r>
            <w:r w:rsidR="00000000" w:rsidRPr="00000000" w:rsidDel="00000000">
              <w:rPr>
                <w:b w:val="1"/>
                <w:rtl w:val="0"/>
              </w:rPr>
              <w:t xml:space="preserve">dubultā finansējuma neiestāšanos, tostarp</w:t>
            </w:r>
            <w:r w:rsidR="00000000" w:rsidRPr="00000000" w:rsidDel="00000000">
              <w:rPr>
                <w:rtl w:val="0"/>
              </w:rPr>
              <w:t xml:space="preserve">, lai pasākuma ietvaros plānotais atbalsts nepārklātos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teikuma dalu "tiks piemērots izņēmums attiecībā uz vienoto kritēriju un vienoto izvēles kritēriju piemērošanu", lai nodrošinātu viennozīmīgu izpratni, ka 4.2.4.3.pasākuma kritēriju komplekts netika iekļauts Uzraudzības komitejā apstiprinātajā izņēmumu sarakstā. Vienlaikus no Finanšu ministrijas puses konceptuāli atbalstām, ka šajā ierobežotā projektu iesniegumu atlasē tiks piemēroti tikai vienotie kritēriji un vienotie izvēles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būtu papildināms apraksts anotācijā, ka finansējuma saņēmējs nodrošina atbalsta savstarpēju papildinātību arī ar 1.2.2.SAM tā mērķu sekmīgai sasniegšanai, ņemot vēra, ka šāda papildinātība minēta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apakšsadaļas "Risinājuma apraksts" punktu "Projekta īstenošanas nosacījumi" ar informāciju par komunikācijas un vizuālās identitātes pasākumu nodrošināšanas nosacījumiem: "Finansējuma saņēmējs nodrošina komunikācijas un vizuālās identitātes prasību nodrošināšanas pasākumus, kas noteikti regulas 2021/1060 47. un 50. pantā un atbilstoši normatīvajiem aktiem par kārtību, kādā Eiropas Savienības fondu vadībā iesaistītās institūcijas nodrošina šo fondu ieviešanu 2021.—2027. gada plānošanas periodā, kā arī ievērojot Eiropas Savienības fondu 2021. – 2027. gada plānošanas perioda un Atveseļošanas fonda komunikācijas un dizaina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20.2.apakšpunktam secināms, ka attiecināmas gan iekšzemes, gan ārvalstu komandējuma izmaksas. Lūgums papildināt sadaļu "Atbalstāmās darbības un attiecināmās izmaksas", norādot, ka attiecināmas ir arī iekšzemes komandējuma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rindkopā, kur minēts par tiešajām attiecināmajām un netiešajām attiecināmajām izmaksām, lūdzam svītrot vārdu savienojumu "Projekta vadības un projekta īstenošanas" un sākt teikuma ievadu ar vārdiem "Netiešajās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apakšsadaļas “Juridiskās personas” atbilstošo apakšsadaļu "Ietekmes apraksts" ar norādi, ka Vides aizsardzības un reģionālās attīstības ministrija pildīs atbildīgās iestādes un finansējuma saņēmēja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novērtējumu par plānoto ietekmi uz tautsaimniecību, t.sk. norādot pēc iespējas izmērāmus faktiski sagaidāmos rezultātus/ rādītājus. Investīciju pienesumu tautsaimniecībai atspoguļo, piemēram, izmērāma ietekme uz makroekonomisko vidi, pienesums ekonomikas transformācijai, nozaru konkurētspējai, uzņēmējdarbības videi, nodarbinātībai, kā arī ietekme uz nozaru politikas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3.sadaļas punktu “Cita informācija”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attiecībā uz ESF+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un nodibinājumu iesaisti, nevalstisko organizāciju iesaisti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07.09.2021. rezolūcija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pasākumam ir tieša ietekme uz horizontālo principu “Vienlīdzība, iekļaušana, nediskriminācija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07.06.2024.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07.06.2024.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