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1.4. apakšpunktā aicinām izmantot jēdzienu "personas ar funkcionāliem traucējumiem", jo tieši šāds jēdziens  ir izvēlēts kā standarta un normatīvi konsekvents termins visā LBN 200‑21 regulējumā. Paskaidrojam, ka kustību ierobežojumi attiecas tikai uz cilvēkiem ar pārvietošanās grūtībām (mobilitātes traucējumiem), savukārt funkcionāli traucējumi ietver gan kustību (mobilitātes) traucējumus, gan redzes, dzirdes un garīga rakstura u.c. traucējumus.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12.02.2026.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12.02.2026.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Atzinumi_25-TA-1187.docx</dc:title>
</cp:coreProperties>
</file>

<file path=docProps/custom.xml><?xml version="1.0" encoding="utf-8"?>
<Properties xmlns="http://schemas.openxmlformats.org/officeDocument/2006/custom-properties" xmlns:vt="http://schemas.openxmlformats.org/officeDocument/2006/docPropsVTypes"/>
</file>