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885 "Kārtība, kādā valsts finansē profesionālās ievirzes sporta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3.punkta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noteikumu 9.punktu atstāt šobrīd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9.punkta formulu iespējams pārcelt uz 8.punktu vai atsevišķu punktu, kas papildina 8.punktu. Lūdzam pirms noteikumu grozījumu ievietošanas TAP portālā, organizēt viedokļu apmaiņu ar sociālajiem partneriem un iesaistītajām institūcijām. Jāņem vērā, ka  skolu un programmu finansēšanu nepieciešams nodrošināt pilnā apmērā, atbilstoši pieprasījumam, kas reģistrēts VIIS datu bāzē uz 15.oktobri. Tikai pie šāda nosacījuma ir atbalstāma plānotā pāreja uz 2 līmeņu proporcionālu finansējuma atlikuma sadali. Skolām ir jābūt līdzekļiem attīstībai, jaunu programmu un grupu atvēršanai, tāpat ir jānodrošina visu akreditēto sporta skolu treneru darba algu finansēšana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14% finansējuma palielinājums piemaksām par papildu pedagoģisko darbu un pedagoga mēneša darba algas likmes palielināšanai tiek novirzīts uz pašvaldībām. Turklāt šādā redakcijā tas ir saprotams arī kā ierobežojums pašvaldībai finansēt profesionālās ievirzes sporta izglītības programmas, paredzot palielinājumu 14% apmērā (ne vairāk un ne mazāk).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izglītojamo skaita samazinājumu treniņgrupās atsevišķiem sporta veidiem. Nav saprotams, kāds ir iemesls šādiem grozījumiem: izglītojamo skaita samazināšanās, dzimstības kritums valstī kopumā, vai izglītojamo drošība treniņprocesā?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būtu samazināms proporcionāli visos sporta veidos. Jebkurai federācijai ir jādod tiesības pārskatīt rezultativitātes kritērijus un grupu komplektēšanas nosacījumus  attiecībā uz izglītojamo skaitu un vecumu, priekšlikumus līdz noteiktam laikam iesniedzot IZM, kura patur kontroles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Atzinumi_25-TA-1860.docx</dc:title>
</cp:coreProperties>
</file>

<file path=docProps/custom.xml><?xml version="1.0" encoding="utf-8"?>
<Properties xmlns="http://schemas.openxmlformats.org/officeDocument/2006/custom-properties" xmlns:vt="http://schemas.openxmlformats.org/officeDocument/2006/docPropsVTypes"/>
</file>