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24-TA-952: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20. februāra noteikumos Nr. 113 "Eiropas Savienības Atveseļošanas un noturības mehānisma plāna 2.2. reformu un investīciju virziena "Uzņēmumu digitālā transformācija un inovācijas" 2.2.1.5.i. investīcijas "Mediju nozares uzņēmumu digitālās transformācijas veicināšana" pasākuma "Mācības mediju nozares speciālistu digitālās kompetences un zināšanu pilnveidošanai"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15.4. gala labuma guvēju digitālajai attīstībai un projekta mērķu sasniegšanai (saskaņā ar gala labuma guvēja digitālās attīstības plānu) nepieciešamo finansējuma saņēmēja noteikto auditorijas pētījumu risinājumu, informācijas un komunikācijas tehnoloģiju (iekārtas, programmatūra, licence) izstrādes, iegādes, atjaunošanas un modernizēšanas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noteikumu projekta 15.4.apakšpunktā paredzēts segt izmaksas par auditorijas pētījumu risinājumu, informācijas un komunikācijas tehnoloģiju (iekārtas, programmatūra, licence) izstrādi, iegādi, atjaunošanu un modernizēšanu, kas pirmsšķietami ietver arī, piemēram, programmēšanas pakalpojuma izmaksas, lūdzam precizēt noteikumu projektu, norādot, kurš būs plānotās darbības veicējs (pakalpojuma sniedzējs) un attiecīgi atbalsta saņēmējs. Vēršam uzmanību, ka gadījumā, ja atbalsts šo izmaksu segšanai būs finansējuma saņēmējam vai sadarbības partnerim, tad tās būtu attiecināmas kā de minimis atbalsts. Savukārt, ja atbalsts, piemēram, iegādātās iekārtas, programmatūra, licences tiks nodots gala labuma guvējam, tās nebūtu uzskatāmas par valsts atbalstu. Lūdzam papildināt anotāciju ar detalizētu izvērtējumu par 15.4. apakšpunktā plānoto darbību izmaksu segšanu, norādot atbalsta saņēmēju.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lūdzam izvērtēt nepieciešamību precizēt arī citus noteikumu projekta punktus, piemēram, noteikumu projekta 16.punktu un 45.punktu.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15.5. investīcijas pasākuma projekta vadības personāla izmaksas, nepārsniedzot 10 procentus no kopējām projekta izmaksām, un projekta īstenošanas personāla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norādīt vai projekta vadības personāla un projekta īstenošanas personāla izmaksas ir attiecināmas tikai darba līguma pamata, vai iespējams arī uz uzņēmuma līguma pamata, vai iespējams arī ārpakalpojuma veidā, veicot  pakalpojuma iegādi atklātā, pārredzamā, nediskriminējošā un konkurenci neierobežojošā procedūrā, t.sk. kāds komercdarbības atbalsts būtu / nebūtu piemērojams visos gadījumos (t.ti. projekta vadība ārpakalpojuma veidā, veicot pakalpojuma iegādi atklātā, pārredzamā, nediskriminējošā un konkurenci neierobežojošā procedūrā būtu/ nebūtu uzskatāms par komercdarbības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izvērtēt vai nav nepieciešams papildināt MK noteikumus ar iepriekš minētajiem projekta vadības nosacījumiem.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Bērziņa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38.1. finansējuma saņēmējs avansa maksājumu var saņemt, ja ir atvēris kontu Valsts kasē vai darījumu kontu Latvijas Republikā reģistrētā kredītiestādē vai Eiropas Savienībā reģistrētā kredītiestādē, kas ir izsniegusi bankas garantiju par labu aģentūrai, iesniedzot aģentūrai pieprasījumu avansa maksājumam un pamatojot avansa maksājuma apmēru, vienlaikus nodrošinot, ka tas nepārsniedz 30 procentus no projekta kopējām attiecināmajām izmaksām;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vārdu salikumu "vai darījumu kontu Latvijas Republikā reģistrētā kredītiestādē vai vai Eiropas Savienībā reģistrētā kredītiestādē, kas ir izsniegusi bankas garantiju par labu aģentūrai" ar "vai darījumu kontu Latvijas Republikā reģistrētā kredītiestādē vai Eiropas Savienībā reģistrēta kredītiestāde ir izsniegusi bankas garantiju par labu aģentūrai"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avansa maksājumu var saņemt, ja ir atvēris kontu Valsts kasē vai darījumu kontu Latvijas Republikā reģistrētā kredītiestādē vai Eiropas Savienībā reģistrēta kredītiestāde ir izsniegusi bankas garantiju par labu aģentūrai, iesniedzot aģentūrai pieprasījumu avansa maksājumam un pamatojot avansa maksājuma apmēru, vienlaikus nodrošinot, ka tas nepārsniedz 30 procentus no projekta kopējām attiecināmajām izmaksām.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Bērziņa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Aģentūra, veicot avansa un starpposma maksājumus, nodrošina, ka finansējuma saņēmējam veikto avansa un starpposma maksājumu kopsumma nepārsniedz 90 procentus no projekta attiecināmajām izmaksām.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izvērtēt vai nav nepieciešams papildināt MK noteikumus ar nosacījumu, ka "Aģentūra finansējuma saņēmējam izmaksājamo avansa summu apstiprina vai noraida, pamatojoties uz sasniedzamajiem mērķiem, maksājuma lietderību un finanšu drošību, ievērojot normatīvo aktu prasības maksājumu un darījumu apliecinošo dokumentu izstrādāšanas un noformēšanas jomā".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Bērziņa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43.7. nodrošināt datu ievadi Kohēzijas politikas fondu vadības informācijas sistēmā progresa pusgada ziņojuma un maksājuma pieprasījuma informācijas sagatavošanai atbilstoši Eiropas Parlamenta un Padomes 2021. gada 12. februāra Regulas (ES) Nr. 2021/241, ar ko izveido Atveseļošanas un noturības mehānismu (turpmāk – regula Nr. 2021/241), 22. un 27. pantam;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MK noteikuma punkta formulējumu jeb anotācijā sniegt skaidrojumu kādi dati finansējuma saņēmējam jāievada attiecībā uz progresa pusgada ziņojumu. Finansējuma saņēmējam būtu jāiesniedz Kohēzijas sistēmā maksājumu pieprasījums ne retāk kā divas reizes gadā, tajos iekļaujot izdevumu un sasniegto rādītāju pamatojošos dokumentus. Pēdējo maksājuma pieprasījumu iesniedz Kohēzijas sistēmā līdz 2026. gada 30. jūnijam;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Bērziņa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43.12. uzkrāt dalībnieku datus par projektā sasniegto šo noteikumu </w:t>
            </w:r>
            <w:r w:rsidR="00000000" w:rsidRPr="00000000" w:rsidDel="00000000">
              <w:rPr>
                <w:rtl w:val="0"/>
              </w:rPr>
              <w:t xml:space="preserve">5.3.3.</w:t>
            </w:r>
            <w:r w:rsidR="00000000" w:rsidRPr="00000000" w:rsidDel="00000000">
              <w:rPr>
                <w:rtl w:val="0"/>
              </w:rPr>
              <w:t xml:space="preserve"> apakšpunktā</w:t>
            </w:r>
            <w:r w:rsidR="00000000" w:rsidRPr="00000000" w:rsidDel="00000000">
              <w:rPr>
                <w:rtl w:val="0"/>
              </w:rPr>
              <w:t xml:space="preserve"> minēto kopējo rādītāja vērtību;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izvērtēt vai projekta ietvaros nav nepieciešams uzkrāt datus arī par 5.3.1. un 5.3.2.  apakšpunktā minēto kopējo rādītāju.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Bērziņa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Projekta iesniedzējam un tā sadarbības partnerim (turpmāk – </w:t>
            </w:r>
            <w:r w:rsidR="00000000" w:rsidRPr="00000000" w:rsidDel="00000000">
              <w:rPr>
                <w:i w:val="1"/>
                <w:rtl w:val="0"/>
              </w:rPr>
              <w:t xml:space="preserve">de minimis</w:t>
            </w:r>
            <w:r w:rsidR="00000000" w:rsidRPr="00000000" w:rsidDel="00000000">
              <w:rPr>
                <w:rtl w:val="0"/>
              </w:rPr>
              <w:t xml:space="preserve"> atbalsta saņēmējs) šo noteikumu </w:t>
            </w:r>
            <w:r w:rsidR="00000000" w:rsidRPr="00000000" w:rsidDel="00000000">
              <w:rPr>
                <w:rtl w:val="0"/>
              </w:rPr>
              <w:t xml:space="preserve">15.1.</w:t>
            </w:r>
            <w:r w:rsidR="00000000" w:rsidRPr="00000000" w:rsidDel="00000000">
              <w:rPr>
                <w:rtl w:val="0"/>
              </w:rPr>
              <w:t xml:space="preserve">, </w:t>
            </w:r>
            <w:r w:rsidR="00000000" w:rsidRPr="00000000" w:rsidDel="00000000">
              <w:rPr>
                <w:rtl w:val="0"/>
              </w:rPr>
              <w:t xml:space="preserve">15.2.</w:t>
            </w:r>
            <w:r w:rsidR="00000000" w:rsidRPr="00000000" w:rsidDel="00000000">
              <w:rPr>
                <w:rtl w:val="0"/>
              </w:rPr>
              <w:t xml:space="preserve">, </w:t>
            </w:r>
            <w:r w:rsidR="00000000" w:rsidRPr="00000000" w:rsidDel="00000000">
              <w:rPr>
                <w:rtl w:val="0"/>
              </w:rPr>
              <w:t xml:space="preserve">15.3.</w:t>
            </w:r>
            <w:r w:rsidR="00000000" w:rsidRPr="00000000" w:rsidDel="00000000">
              <w:rPr>
                <w:rtl w:val="0"/>
              </w:rPr>
              <w:t xml:space="preserve"> un </w:t>
            </w:r>
            <w:r w:rsidR="00000000" w:rsidRPr="00000000" w:rsidDel="00000000">
              <w:rPr>
                <w:rtl w:val="0"/>
              </w:rPr>
              <w:t xml:space="preserve">15.5. </w:t>
            </w:r>
            <w:r w:rsidR="00000000" w:rsidRPr="00000000" w:rsidDel="00000000">
              <w:rPr>
                <w:rtl w:val="0"/>
              </w:rPr>
              <w:t xml:space="preserve">apakšpunktā</w:t>
            </w:r>
            <w:r w:rsidR="00000000" w:rsidRPr="00000000" w:rsidDel="00000000">
              <w:rPr>
                <w:rtl w:val="0"/>
              </w:rPr>
              <w:t xml:space="preserve"> noteiktajām izmaksām aģentūra piešķir līdzfinansējumu kā </w:t>
            </w:r>
            <w:r w:rsidR="00000000" w:rsidRPr="00000000" w:rsidDel="00000000">
              <w:rPr>
                <w:i w:val="1"/>
                <w:rtl w:val="0"/>
              </w:rPr>
              <w:t xml:space="preserve">de minimis</w:t>
            </w:r>
            <w:r w:rsidR="00000000" w:rsidRPr="00000000" w:rsidDel="00000000">
              <w:rPr>
                <w:rtl w:val="0"/>
              </w:rPr>
              <w:t xml:space="preserve"> atbalstu, ievērojot Eiropas Komisijas 2023. gada 13. decembra Regulas (ES) Nr. 2023/2831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(turpmāk – Komisijas regula Nr. 2023/2831)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visas šo noteikumu 15.1., 15.2., 15.3. un 15.5. apakšpunktos noteiktās izmaksas ir pilnībā attiecināmas tikai uz projekta iesniedzēju un sadarbības partneri, vai daļa tomēr ir attiecināma uz gala labuma guvēju. Gadījumā, ja daļa ir attiecināma uz gala labuma guvēju lūdzam atbilstoši precizēt 40.punktu.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Timma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 Eiropas Savienības Atveseļošanas un noturības mehānisma plāna 2.2. reformu un investīciju virziena "Uzņēmumu digitālā transformācija un inovācijas" 2.2.1.5.i. investīcijas "Mediju nozares uzņēmumu digitālās transformācijas veicināšana" pasākumam "Mācības mediju nozares speciālistu digitālās kompetences un zināšanu pilnveidošanai"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Lūdzam dzēst vispārīgos atbilstības kritērijus Nr.2.11 un Nr.2.12. Šo kritēriju ietvaros vērtējamos aspektus rosinām iekļaut vispārīgās atbilstības kritērija Nr.2.13 piemērošanas skaidrojumā, neveidojot tos kā patstāvīgus kritērijus.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Lūdzam izvērtēt, vai specifiskais atbilstības kritērijs Nr. 3.1. nebūtu attiecināms arī uz sadarbības partneri.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Ņemot vērā, ka noteikumu 20. punkts paredz iespēju pieredzi apliecināt kopīgi ar sadarbības partneri, lūdzam izvērtēt, vai kvalitātes kritērija Nr.4.1. vērtēšanā nebūtu ņemama vērā arī sadarbības partnera īstenoto mediju nozares speciālistu apmācību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Timma (CFLA)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24-TA-952</w:t>
    </w:r>
    <w:r>
      <w:br/>
    </w:r>
    <w:r w:rsidR="00000000" w:rsidRPr="00000000" w:rsidDel="00000000">
      <w:rPr>
        <w:rtl w:val="0"/>
      </w:rPr>
      <w:t xml:space="preserve">Izdrukāts 17.06.2024. 15.56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24-TA-952</w:t>
    </w:r>
    <w:r>
      <w:br/>
    </w:r>
    <w:r w:rsidR="00000000" w:rsidRPr="00000000" w:rsidDel="00000000">
      <w:rPr>
        <w:rtl w:val="0"/>
      </w:rPr>
      <w:t xml:space="preserve">Izdrukāts 17.06.2024. 15.56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Atzinumi_24-TA-952.docx</dc:title>
</cp:coreProperties>
</file>

<file path=docProps/custom.xml><?xml version="1.0" encoding="utf-8"?>
<Properties xmlns="http://schemas.openxmlformats.org/officeDocument/2006/custom-properties" xmlns:vt="http://schemas.openxmlformats.org/officeDocument/2006/docPropsVTypes"/>
</file>