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25-TA-1608: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aizsardzības un drošības fonda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noteikt fonda līdzekļu izmantošanas virzienus, aicinām papildināt likumprojektu ar punktu, kas paredz, ka Ministru kabinets ir tiesīgs lemt par finansējuma novirzīšanu komercdarbības atbalsta programmu izveidei divējāda lietojuma un militāru produktu vai tehnoloģiju, tai skaitā infrastruktūras,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1) attiecīgās komercdarbības atbalsta programmai pieejamo finansējumu; 2) komercdarbības atbalsta, tai skaitā ad-hoc atbalsta, piešķiršanas kārtību un kritērijus; 3) komercdarbības atbalsta programmas īstenošanas nosacījumus un kārtību; 4) piešķirtā finansējuma izlietojumu un neatbilstošo izdevumu atgūšanas nosacījumus un kārtību; 5) prioritāro projektu ietvaros atbalstāmo darbību un izmaksu attiecināmības nosacījumus; 6) komercdarbības atbalsta uzskaiti, neatbalstāmās nozares un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Raivis Supe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08.08.2025.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08.08.2025.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Atzinumi_25-TA-1608.docx</dc:title>
</cp:coreProperties>
</file>

<file path=docProps/custom.xml><?xml version="1.0" encoding="utf-8"?>
<Properties xmlns="http://schemas.openxmlformats.org/officeDocument/2006/custom-properties" xmlns:vt="http://schemas.openxmlformats.org/officeDocument/2006/docPropsVTypes"/>
</file>