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sevī ietver: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2018/1046 61.panta prasībām vienādi jāattiecas gan uz publiskas personas institūciju gan uz sadarbības tīklu, kas ir reģistrēts Latvijas Republikas Uzņēmumu reģistra biedrību un nodibinājumu reģistrā vai komercreģistrā.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savukārt sadarbības tīklam šīs prasības nav saistošas. Lai nodrošinātu atbilstošas, caurskatāmas un  regulas Nr. 2018/1046 61.panta prasībām atbilstošas iekšējās kontroles sistēmas ieviešanu arī sadarbības tīkla darbībā šo MK noteikumu kontekstā, rosinām pārveidot un papildināt 71.2. punkta redakciju ar prasību par iekšējās informācijas aprites un komunikācijas pasākumu veikšanu (71.2.5. apakšpunkts) un papildināt 71.punktu ar jaunu apakšpunktu, pārnesot no 71.2. apakšpunkta prasību publiskās personas institūcijām par MK noteikumu Nr. 630. nosacījumu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kas sevī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71.2.4.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publiskas personas institūcijā iekšējā kontroles sistēma atbilst Ministru kabineta 2017. gada 17. oktobra noteikumu Nr. 630 "Noteikumi par iekšējās kontroles sistēmas pamatprasībām korupcijas un interešu konflikta riska novēršanai publiskas personas institūcijā"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Eberhards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normu, kura paredzētu, ka finansējuma saņēmējam ir jāuzkrāj dati par Viedās specializācijas stratēģijas (RIS3) jomā atbalstītajiem komersantiem, ievadot tos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viens vienots uzņēmums – uzņēmums, kas atbilst Eiropas Komisijas 2013. gada 18. decembra Regulas Nr. 1407/2013 par Līguma par Eiropas Savienības darbību 107. un 108.panta piemērošanu de minimis atbalstam (turpmāk – regula Nr. 1407/2013) 2.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2.9. apakšpunktā ietverto definīciju, lai nodrošinātu, ka gadījumos, kad nepieciešams vērtēt de minimis atbalsta pretendenta atbilstību viena vienota uzņēmuma definīcijai, ka tas tiek vērtēts neatkarīgi no atbalsta pretendenta juridiskās formas, t.i., ka minētā definīcja attiecas tostarp arī uz biedrībām un nodibinājumiem.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 līdzfinansējums 292 383 euro (t.sk. elastības finansējums 46 116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2023. gada 29. jūnija e-pasta vēstulē Nr. 5.1/25/21/36 iekļauto argumentāciju, kā arī to, ka valsts budžeta līdzekļi ir ierobežoti un ES fondu līdzfinansējumu var nodrošināt nacionālā līmenī arī no privātā līdzfinansējuma, skaidrojam, ka EM minētajā uzņēmumu atbalsta gadījumā kā nacionālais līdzfinansējums atbilstoši iepriekš indikatīvi iezīmētajam finanšu avotu sadalījumam un valsts budžeta faktiskajām iespējām būtu izmantojams šo uzņēmumu privātais līdzfinansējums, nevis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skaitot tikai projekta iesniegumā norādītos dalībniekus, kopējais neto apgrozījums palielinājums, salīdzinot ar šo noteikumu </w:t>
            </w:r>
            <w:r w:rsidR="00000000" w:rsidRPr="00000000" w:rsidDel="00000000">
              <w:rPr>
                <w:rtl w:val="0"/>
              </w:rPr>
              <w:t xml:space="preserve">20.3.</w:t>
            </w:r>
            <w:r w:rsidR="00000000" w:rsidRPr="00000000" w:rsidDel="00000000">
              <w:rPr>
                <w:rtl w:val="0"/>
              </w:rPr>
              <w:t xml:space="preserve"> iesniegto rādītāju, - par 10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funkcionalitāte paredz visiem rādītājiem norādīt sasniedzamo vērtību vai nu uz 2024. gadu vai arī uz 2029. gadu, lūdzam skaidrot, vai šī rādītāja plānotā vērtība 10% būs jāatspoguļo KPVIS kā sasniedzamā vērtība uz 2029. gadu vai arī uz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informācijas un komunikācijas pasākumu īstenošana, tai skaitā obligāto publicitātes pasākumu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 aicinām izvērtēt un pēc nepieciešamības precizēt noteikumu projekta 32.1.apakšpunktu.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aģentūrai šo noteikumu </w:t>
            </w:r>
            <w:r w:rsidR="00000000" w:rsidRPr="00000000" w:rsidDel="00000000">
              <w:rPr>
                <w:rtl w:val="0"/>
              </w:rPr>
              <w:t xml:space="preserve">32.</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33.punktu, paredzot, ka ievaddaļa attiecas arī uz sadarbības tīklu un sadarbības tīkla dalībniekiem, ņemot vērā, ka MK noteikumu 89., 90.punktā atsevišķas izmaksas ir attiecināmas uz sadarbības tīklu un tīkla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41.punktu, paredzot, ka ievaddaļa attiecas arī uz sadarbības tīkla dalībniekiem, ņemot vērā, ka 90.punktā atsevišķas izmaksas ir attiecināmas uz tīkla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izmaksas obligāto informācijas un publicitātes pasākumu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 aicinām izvērtēt un pēc nepieciešamības precizēt noteikumu projekta 41.15.apakšpunktu.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maksājums nepārsniedz 30% no projektam piešķirtā publiskā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59.2.apakšpunktu ar vārdu "avansa", lai būtu nepārprotami skaidrs, ka domāts avansa maksājums. Vēršam uzmanību, ka saskaņā ar  vadošās iestādes 2023. gada 30.maija vadlīnijām Nr. 1.4."Vadlīnijas Ministru kabineta noteikumu par specifiskā atbalsta mērķa īstenošanu izstrādei Eiropas Savienības fondu 2021.—2027. gada plānošanas periodā" , ja ir paredzēta iespēja finansējuma saņēmējam izmaksāt avansu, MK noteikumos norāda tā saņemšanas nosacījumus kā piemēram, avansa apjoms un tā izmaksāšanas kārtība,  </w:t>
            </w:r>
            <w:r w:rsidR="00000000" w:rsidRPr="00000000" w:rsidDel="00000000">
              <w:rPr>
                <w:u w:val="single"/>
                <w:rtl w:val="0"/>
              </w:rPr>
              <w:t xml:space="preserve">avansa un starpposma maksājumu kopsumma</w:t>
            </w:r>
            <w:r w:rsidR="00000000" w:rsidRPr="00000000" w:rsidDel="00000000">
              <w:rPr>
                <w:rtl w:val="0"/>
              </w:rPr>
              <w:t xml:space="preserve">. Vienlaikus vēršam uzmanību, ka saskaņā ar Ministru kabineta 2023. gada 25. aprīļa  noteikumu Nr. 205 "Valsts budžeta līdzekļu plānošanas kārtība Eiropas Savienības fondu projektu īstenošanai un maksājumu veikšanai 2021.–2027. gada plānošanas periodā" 10. punktu,  maksimālais avansa apjoms nevar pārsniegt 30 % no projektam piešķirtā </w:t>
            </w:r>
            <w:r w:rsidR="00000000" w:rsidRPr="00000000" w:rsidDel="00000000">
              <w:rPr>
                <w:u w:val="single"/>
                <w:rtl w:val="0"/>
              </w:rPr>
              <w:t xml:space="preserve">Eiropas Savienības fonda finansējuma</w:t>
            </w:r>
            <w:r w:rsidR="00000000" w:rsidRPr="00000000" w:rsidDel="00000000">
              <w:rPr>
                <w:rtl w:val="0"/>
              </w:rPr>
              <w:t xml:space="preserve"> un, ja tas ir paredzēts projektā, valsts budžeta līdzfinansējuma kopsummas. Aicinām atbilstoši precizēt avansa izmaksāšanas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maksājums ir pieejams, ja finansējuma saņēmējs ir atvēris kontu Valsts kasē vai darījumu kontu Latvijā reģistrētā kredītiestādē, vai kontu Latvijā reģistrētā kredītiestādē un iesniedzis bankas garantiju par avansa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59.3.apakšpunkts nedublē MK noteikumos  Nr. 205 "Valsts budžeta līdzekļu plānošanas kārtība Eiropas Savienības fondu projektu īstenošanai un maksājumu veikšanai 2021.–2027. gada plānošanas periodā" noteikto, un vienlaikus  vēršam uzmanību, ka  minētie MK noteikumi nosaka, ka avansa maksājuma saņemšanai finansējuma saņēmējs atver kontu Eiropas Savienības dalībvalstī vai Eiropas Ekonomikas zonas valstī reģistrētā kredītiestādē un iesniedz šīs kredītiestādes garantiju.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sevī ietver: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2018/1046 61.panta prasībām vienādi jāattiecas gan uz publiskas personas institūciju gan uz sadarbības tīklu, kas ir reģistrēts Latvijas Republikas Uzņēmumu reģistra biedrību un nodibinājumu reģistrā vai komercreģistrā.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savukārt sadarbības tīklam šīs prasības nav saistošas. Lai nodrošinātu atbilstošas, caurskatāmas un  regulas Nr. 2018/1046 61.panta prasībām atbilstošas iekšējās kontroles sistēmas ieviešanu arī sadarbības tīkla darbībā šo MK noteikumu kontekstā, rosinām pārveidot un papildināt 71.2. punkta redakciju ar prasību par iekšējās informācijas aprites un komunikācijas pasākumu veikšanu (71.2.5. apakšpunkts) un papildināt 71.punktu ar jaunu apakšpunktu, pārnesot no 71.2. apakšpunkta prasību publiskās personas institūcijām par MK noteikumu Nr. 630. nosacījumu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kas sevī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71.2.4.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publiskas personas institūcijā iekšējā kontroles sistēma atbilst Ministru kabineta 2017. gada 17. oktobra noteikumu Nr. 630 "Noteikumi par iekšējās kontroles sistēmas pamatprasībām korupcijas un interešu konflikta riska novēršanai publiskas personas institūcijā"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Krišlauka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Aģentūra, sadarbības iestāde, sadarbības tīkli un sadarbības tīkla dalībnieki projekta īstenošanas laikā nodrošina interešu konflikta nepieļaujamību saskaņā ar regulas Nr. 2018/1046)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sadarbības iestādi no šī punkta, jo nav nepieciešams dublēt to, ko attiecībā uz CFLA jau paredz horizontālais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Aģentūras eksperti, kas sniedz atzinumu par sadarbības tīkla stratēģiju paraksta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ka nepiedalīsies sadarbības tīklu projektu iesniegumu izvērtēšanā interešu konflikta situācijā un vērtēšanas komisijas sēdēs, kurās tiks apstiprināti sadarbības tīklu projektu iesniegumi. Apliecinājumu paraksta pirms sadarbības tīkla pieteikumu izskatīšanas un vērtēšanas. Apliecinājumu Sadarbības iestāde glabā atbilstoši regulas Nr. 2018/1046 132. pantam un šo noteikumu </w:t>
            </w:r>
            <w:r w:rsidR="00000000" w:rsidRPr="00000000" w:rsidDel="00000000">
              <w:rPr>
                <w:rtl w:val="0"/>
              </w:rPr>
              <w:t xml:space="preserve">90.</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73. punkta pēdējo teikumu, nosakot, ka šos apliecinājumus glabā aģentūra, nevis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Pirmās un otrās kārtas finansējuma saņēmēji un sadarbības tīkla dalībnieki nodrošina informācijas un publicitātes pasākumus saskaņā ar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juridiskās tehnikas pasībam lūdzam papildināt aiz skaitļa un vārda "50.pantu" ar vārdiem "un normatīvo aktu par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Pirmās kārtas ietvaros aģentūra atbalstu sadarbības tīklam un sadarbības tīkla dalībniekiem sniedz un uzskaita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un anotācijā ir pretrunīgi nosacījumi attiecībā uz to, kam pirmās kārtas ietvaros aģentūra piešķir de minimis atbalstu, t.i., piemēram, 80. un 91. punktā noteikts, ka atbalstu pirmās kārtas ietvaros aģentūra piešķir sadarbības tīklam un sadarbības tīkla dalībniekiem, savukārt, piemēram, noteikumu projekta 51.1. apakšpunktā no atbalsta saņēmēju loka ir svītroti sadarbības tīkla dalībnieki, kā arī 79.punktā norādīts, ka aģentūra izvērtē pirmās atlases kārtas ietvaros tikai sadarbības tīklu, lūdzam precizēt noteikumu projektu, lai būtu skaidrs, kam pirmās kārtas ietvaros aģentūra piešķir de minimis atbalstu un kādām izmaksām. Ja atbalstu plānots piešķirt tikai sadarbības tīklam, lūdzam norādīt, ka izmaksas ir attiecināmas, ja tās attiecas uz paša sadarbības tīkla darbību. Lūdzam atbilstoši precizēt arī anotācijā ietverto informāciju, tostarp, ar piemēru skaidrot, kā tiks noteikts, ka pirmajā kārtā izmaksas attiecas uz pašu sadarbības tīklu, nevis sadarbības tīkla dalībnieku.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Lēmumu par atbalsta piešķiršanu sadarbības tīklam un sadarbības tīkla dalībniekam saskaņā ar Komisijas regulu Nr. 1407/2013 var pieņemt līdz 2024. gada 30. jūnijam vai atbilstoši līdz regulas Nr. 1407/2013 7.panta 4.punkta un 8.panta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95.punktu, ņemot vērā, ka saskaņā ar regulas Nr. 1407/2013 7.panta 4.punkta un 8.panta nosacījumiem, regula šobrīd ir piemērojama līdz 2024. gada 30. jūnijam. Attiecīgi šobrīd iekļautā atsauce uz regulas Nr. 1407/2013 7.panta 4.punktu un 8.panta nosacījumiem dublē iepriekš minēto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atsevišķas izmaksas var tikt attiecinātas gan uz sadarbības tīklu, gan uz sadarbības tīkla dalībnieku, atkarībā no tā uz kura subjekta darbībām tās ir attiecināmas, lūdzam anotācijā iekļaut skaidrojumu, kurā dokumentā tiks iekļauti kritēriji/nosacījumi, kā katrs atbalsta sniedzējs (katrā kārtā) izvērtēs, vai konkrētās izmaksas attiecas uz konkretā subjekta darbību, lai nodrošinātu korektu de minimis atbalsta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pasākuma kopējo pieejamo privāto finansējumu atbilstoši noteikumu projekta 9.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minēts, ka sadarbības tīkls var piesaistīt sadarbības partneri un slēgt sadarbības līgumu, aicinām izvērtēt un papildināt anotāciju, nepieciešamības gadījumā arī MK noteikumu projektu, lai nodrošinātu  atbilstību vadošās iestādes 2023. gada 30.maija vadlīnijās 1.4. "Vadlīnijas Ministru kabineta noteikumu par specifiskā atbalsta mērķa īstenošanu izstrādei Eiropas Savienības fondu 2021.—2027. gada plānošanas periodā" noteiktajam, ka, ja SAM īstenošanā MK noteikumu ietvaros ir paredzēti sadarbības partneri, MK noteikumos iekļauj sadarbības regulējumu vai norāda, ka tas tiks atrunāts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6.punktā pirmās un otrās kārtas norādītā finansējuma kopsumma sadalījumā pa gadiem nesakrīt ar 1.-5.punktā atspoguļoto sadalījumu, attiecīgi lūdzam veikt nepieciešamos precizējumus, kā arī lūdzam precizēt otrās kārtas finansējuma sadalījumu pa gadiem, jo šobrīd otrās kārtas finansējuma kopsummas atšķiras no noteikumu projekta 9.2. apakšpunktā paredzētā finansējuma. Vienlaikus 6.punktā lūdzam svītrot informāciju par trešās kārtas ietvaros pieejamo finansējumu, ņemot vērā, ka noteikumu projekts neparedz trešās kārtas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pieteikumu atlasi pēc projekta vērtēšanas kritēriju apstiprināšanas Uzraudzības komitejā un Ministru kabineta noteikumu projekta 36. punktā minētās vienkāršoto izmaksu metodikas izstrādes un saskaņošanas ar Eiropas Savienības fondu vadošo iestādi. vai līdz Komisijas regulas Nr. 1407/2013  spēkā esošā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w:t>
            </w:r>
            <w:r w:rsidR="00000000" w:rsidRPr="00000000" w:rsidDel="00000000">
              <w:rPr>
                <w:i w:val="1"/>
                <w:rtl w:val="0"/>
              </w:rPr>
              <w:t xml:space="preserve">"gadījumā, ja vienkāršoto izmaksu metodikas nav izstrādātas un saskaņotas ar vadošo iestādi, līdz atlases izsludināšanai, projekta iesniegumā izmaksas plāno atbilstoši faktiskajām izmaksām.</w:t>
            </w:r>
            <w:r w:rsidR="00000000" w:rsidRPr="00000000" w:rsidDel="00000000">
              <w:rPr>
                <w:rtl w:val="0"/>
              </w:rPr>
              <w:t xml:space="preserve">", lūdzam precizēt protokollēmuma 3. punktu un izteikt to šādā redakcijā: "</w:t>
            </w:r>
            <w:r w:rsidR="00000000" w:rsidRPr="00000000" w:rsidDel="00000000">
              <w:rPr>
                <w:i w:val="1"/>
                <w:rtl w:val="0"/>
              </w:rPr>
              <w:t xml:space="preserve">Centrālai finanšu un līgumu aģentūrai izsludināt pirmās kārtas projektu iesniegumu atlasi pēc šo noteikumu spēkā stāšanās, bet ne agrāk kā pirms vērtēšanas kritēriju apstiprināšanas Uzraudzības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pieteikumu atlasi pēc šo noteikumu spēkā stāšanās, bet ne agrāk kā pirms vērtēšanas kritēriju apstiprināšanas Uzraudzības komitejā un Ministru kabineta noteikumu projekta 47. punktā minētās vienkāršoto izmaksu metodikas izstrādes un saskaņošanas ar Eiropas Savienības fondu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protokollēmuma 4. punktu šādā redakcijā:</w:t>
            </w:r>
            <w:r w:rsidR="00000000" w:rsidRPr="00000000" w:rsidDel="00000000">
              <w:rPr>
                <w:i w:val="1"/>
                <w:rtl w:val="0"/>
              </w:rPr>
              <w:t xml:space="preserve"> "Centrālai finanšu un līgumu aģentūrai izsludināt otrās kārtas projektu iesniegumu atlasi pēc šo noteikumu spēkā stāšanās, bet ne agrāk kā pirms vērtēšanas kritēriju apstiprināšanas Uzraudzības komitejā.</w:t>
            </w:r>
            <w:r w:rsidR="00000000" w:rsidRPr="00000000" w:rsidDel="00000000">
              <w:rPr>
                <w:rtl w:val="0"/>
              </w:rPr>
              <w:t xml:space="preserve">", vienlaikus ņemot vērā anotācijā norādīto, ka projektu iesniegumu atlases kārtas tiek veiktas secīgi, lūdzam protokollēmuma 4. punktā noteikt laiku, pēc kura izsludināma otrā projektu iesniegumu atlases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05.07.2023.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