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nodrošina iedzīvotāju informēšanu par pirmās nepieciešamības preču izsniegšanas kārtību un izsniegšanas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Mobilizācijas likuma 9.panta 6.</w:t>
            </w:r>
            <w:r w:rsidR="00000000" w:rsidRPr="00000000" w:rsidDel="00000000">
              <w:rPr>
                <w:vertAlign w:val="superscript"/>
                <w:rtl w:val="0"/>
              </w:rPr>
              <w:t xml:space="preserve">1 </w:t>
            </w:r>
            <w:r w:rsidR="00000000" w:rsidRPr="00000000" w:rsidDel="00000000">
              <w:rPr>
                <w:rtl w:val="0"/>
              </w:rPr>
              <w:t xml:space="preserve">punkta b) apakšpunkts noteic, lai reglamentētu mobilizācijas plānošanu, sagatavošanu un īstenošanu, Ministru kabinets izdod noteikumus par iedzīvotāju nodrošināšanu ar pirmās nepieciešamības precēm valsts apdraudējuma gadījumā, nosakot pirmās nepieciešamības preču izsniegšanas kārtību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projekts "Noteikumi par iedzīvotāju nodrošināšanu ar pirmās nepieciešamības precēm valsts apdraudējuma gadījumā" neparedz pirmās nepieciešamības preču izsniegšanas kārtību, par kuru iedzīvotāji ir informējami. Ievērojot minēto, lūdzam šajā Ministru kabineta noteikumu projektā noteikt šādu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03.07.2023.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03.07.2023.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