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20.punkta redakciju un izziņas 12.punktā sniegto skaidrojumu, atkārtoti lūdzam sniegt skaidrojumu, ietverot to anotācijā, uz kāda tiesiska pamata atbalstāmo darbību īstenošanu pārvalda Labklājības ministrijas izveidota pasākuma uzraudzības padome. Atkārtoti norādām, ka šādu funkciju neparedz Eiropas Savienības fondu 2021-2027.gada plānošanas perioda vadības likums un tam pakārtotie Ministru kabineta noteikumi. Nepieciešamības gadījumā, lūdzam precizēt arī noteikumu projekta 20.punktu.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projekta 3.2.apakšpunkts paredz arī 2024.gada pirmajam pusgadam nodrošināt valsts budžeta priekšfinansējumu 4.3.6.5.pasākuma īstenošanai līdz projekta iesnieguma apstiprināšanai sadarbības iestādē, nepieciešams papildināt anotācijas 1.3.sadaļas punktu “Risinājuma apraksts”, norādot pamatojumu līdzekļu piešķiršanai no valsts budžeta pirms projekta iesnieguma apstiprināšanas sadarbības iestādē, kā arī norādot nepieciešamā valsts budžeta priekšfinansējuma izdevumu pozīcijas atbilstoši projektā izvirzītajam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1.6.apakšsadaļas punktā “Ilgtspēja” norādīto informāciju. Vēršam uzmanību, ka atbilstoši MK 2023.gada 17.janvāra noteikumu Nr.15 “Maksimāli pieļaujamā valsts budžeta izdevumu kopapjoma un katrai ministrijai un citai centrālajai valsts iestādei paredzētā izdevumu kopējā apjoma noteikšanas kārtība vidējam termiņam” (turpmāk – MKN Nr.15) 9.4.apakšpunktam Labklājības ministrija (turpmāk – LM) Finanšu ministrijā (turpmāk – FM) iesniegs tikai pieprasījumu LM pamatbudžeta bāzes projekta precizēšanai n+1, n+2 un n+3 gadam, savukārt FM vēl vērtēs LM iesniegto informāciju un par finansējuma piešķiršanu lems Ministru kabinets valsts pamatbudžeta bāzes projekta apstiprināšanas procesā. Ņemot vērā minēto, nevar norādīt, ka finansējuma saņēmējs nodrošinās 4.3.6.5.pasākuma projekta rezultātu uzturēšanu, izmantojot valsts budžeta finansējumu atbilstoši MKN Nr.15 9.4.apakšpunktam.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 Ņemot to vērā, peļņas negūšana un (vai) valsts pārvaldes funkciju veikšana nav indikators izmaksu un ieguvumu analīzes veikšanai vai neveikšanai.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piemēri potenciālajiem ieguvumiem būtu meklējami valsts pārvaldes izmaksu, kas nepieciešami funkciju veikšanai, ietaupījumā (salīdzinot situāciju ar projektu un bez projekta),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uzlabojot atbalsta sistēmu, uzlabojot speciālistu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samazinot personu skaitu, kurām nepieciešama palīdzība vai papildus palīdzība, kā rezultātā rodas ietaupījumi valsts budžetā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iespējams aprēķināt arī ieguvumus galvenajai mērķa grupai – bērniem un to ģimenēm, ko var izteikt kā personu papildus gūtos ienākumu nākotnē, ja projekta rezultātā tie spēj labāk iekļauties sabiedrībā, gūst labāku izglītību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normu, kas paredz, ka finansējuma saņēmējs veic izmaksu un ieguvumu analīzi. Atbilstoši lūdzam papildināt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līdz brīdim, kad tiks apstiprināta atbildīgās iestādes izstrādātā personāla atlīdzības izmaksu vienotās likmes un tās piemērošanas metodika (turpmāk – personāla izmaksu metodika), - finansējuma saņēmēja projekta īstenošanas personāla un vadības personāla atlīdzības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"personāla atlīdzības izmaksu" un turpmāk MK noteikumos precizēt terminoloģiju uz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pēc personāla izmaksu metodikas apstiprināšanas, finansējuma saņēmēja projekta īstenošanas personāla un vadības personāla atlīdzības izmaksas, tai skaitā veselības apdrošināšanas izmaksas un redzes korekcijas līdzekļu kompensācijas izmaksas, piemērojot personāla izmaksu metodikā noteikto likmi no šo noteikumu 15.1. apakšpunktā minētajām tiešajām attiecināmajām izmaksām, kas nav tiešās personāla izmaksas. Minētās tiešās attiecināmās personāla izmaksas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"tai skaitā veselības apdrošināšanas izmaksas un redzes korekcijas līdzekļu kompensācijas izmaksas", tā kā izmaksu tvērums ir noteikts VI vadlīnijās Nr. 1.2. "Vadlīnijas attiecināmo izmaksu noteikšanai Eiropas Savienības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normatīvajos aktos par kārtību, kādā veicama obligātā veselības pārbaude paredzēto veselības pārbaužu izmaksas projekta vadības un īstenošanas personālam;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16.2.3. apakšpunktu, norādot, ka obligātās veselības pārbaudes izmaksas ir attiecināmas, ja tās nav iekļautas 17.1. apakšpunktā minētajās veselības apdrošināšanas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apņemas nodrošināt šo noteikumu 14.2.1. apakšpunktā minētās atbalstāmās darbības ietvaros izstrādātā novērtēšanas rīka digitālā risinājuma izmantošanu un ilgtspēju pēc projekta īstenošanas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17.punktā sniegto Labklājības ministrijas sniegto skaidrojumu, ka agrīnu risku novērtēšanas rīka darbībai un tā digitālajam risinājumam nav plānots noteikt ilgtspējas termiņu, paredzot to darbības nepārtrauktību līdz beidzas nepieciešamība, lūdzam precizēt MK noteikumu projekta 33.10.apakšpunktu, nosakot finansējuma saņēmējam pienākumu nodrošināt (nevis apņemšanos) izstrādātā novērtēšanas rīka digitālā risinājuma izmantošanu un ilgtspēju pēc projekta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atkārtoti izvērtēt nepieciešamību noteikt ilgtspējas nodrošināšanas termiņu pēc projekta īstenošanas beigām, ņemot vērā, ka šāds nosacījums būtu pamats finansējuma pieprasījumam izstrādātā digitālā novērtēšanas rīka uzturēšanai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atbildīgās iestādes izstrādātā vienotās likmes un tās piemērošanas metodika personāla atlīdzības izmaksām  piemērošana ar tās spēkā stāšanās dienu neradīs nesamērīgu administratīvo slogu, ņemot vērā, ka gadījumā, ja minētā metodika nestāsies spēkā ar mēneša pirmo datumu, tad par daļu no attiecīgā mēneša perioda būs jādeklarē faktiski veiktās izmaksas, bet par otro daļu jāpiemēro vienotā likme. Aicinām izvērtēt iespēju vienoto likmi piemērot par pilnu mēnesi, attiecīgi anotācijā precizējot vienotās likmes piemērošanas sākuma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korektu saiti uz metodikām, jo esošā saite nav aktīva.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https://www.esfondi.lv/upload/1km_izmaksu_metodika_nr_7.pdf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https://www.esfondi.lv/upload/0_iekszemes_komandejumu_metodika.pdf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uz 03.07.2023. sniegto iebildumu un Labklājības ministrijas sniegto informāciju izziņā, lūdzam anotāciju papildināt ar izziņā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darba vietas aprīkojuma izmaksas darbiniekiem, kuriem ir daļlaika noslodze, tiks ievērots Vadlīniju Nr.1.2. “Vadlīnijas attiecināmo izmaksu noteikšanai Eiropas Savienības kohēzijas politikas programmas 2021. – 2027.gada plānošanas periodā” 33. punktā noteiktais, t.sk.,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13.09.2023.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13.09.2023.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