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 oktobra noteikumos Nr. 619 "Zinātnisko institūciju darbības starptautiskā novērtējuma organizēšanas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iebildumu par nepieciešamību izstrādāt skaidru un nepārprotamu metodoloģiju, piešķirot zinātniskajai institūcijai konsolidēto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10.4. punktu, definējot visām pusēm vienlīdz saprotamu  metodoloģiju, tai skaitā skaidrojot, pēc kādiem kritērijiem tiks atkārtoti vērtēta  “šo vienību zinātniskās pētniecības kapacitāti un zinātnes nozaru grupu specifika”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4. punktu, iekļaujot prasību, ka zinātniskajai institūcijai konsolidēto vērtējuma metodoloģija tiks</w:t>
            </w:r>
            <w:r w:rsidR="00000000" w:rsidRPr="00000000" w:rsidDel="00000000">
              <w:rPr>
                <w:b w:val="1"/>
                <w:rtl w:val="0"/>
              </w:rPr>
              <w:t xml:space="preserve"> saskaņota</w:t>
            </w:r>
            <w:r w:rsidR="00000000" w:rsidRPr="00000000" w:rsidDel="00000000">
              <w:rPr>
                <w:rtl w:val="0"/>
              </w:rPr>
              <w:t xml:space="preserve"> (nevis konsultējoties) ar </w:t>
            </w:r>
            <w:r w:rsidR="00000000" w:rsidRPr="00000000" w:rsidDel="00000000">
              <w:rPr>
                <w:b w:val="1"/>
                <w:rtl w:val="0"/>
              </w:rPr>
              <w:t xml:space="preserve">nozaru ministrijām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14.5.2.3. spēja piesaistīt studējošos, doktora grāda pretendentus un ārvalstu pētniekus;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redakcionāls precizējums, jo “doktora grāda pretendenti” un “doktoranti” ir arī “studējošie”.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27.08.2024.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27.08.2024.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Atzinumi_24-TA-909.docx</dc:title>
</cp:coreProperties>
</file>

<file path=docProps/custom.xml><?xml version="1.0" encoding="utf-8"?>
<Properties xmlns="http://schemas.openxmlformats.org/officeDocument/2006/custom-properties" xmlns:vt="http://schemas.openxmlformats.org/officeDocument/2006/docPropsVTypes"/>
</file>