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1. nodaļā norādīto informāciju "</w:t>
            </w:r>
            <w:r w:rsidR="00000000" w:rsidRPr="00000000" w:rsidDel="00000000">
              <w:rPr>
                <w:i w:val="1"/>
                <w:rtl w:val="0"/>
              </w:rPr>
              <w:t xml:space="preserve">Ņemot vērā, ka VAS “Valsts nekustamie īpašumi” (turpmāk - VNĪ) kā potenciālais finansējuma saņēmējs, kurš nodrošinās tai </w:t>
            </w:r>
            <w:r w:rsidR="00000000" w:rsidRPr="00000000" w:rsidDel="00000000">
              <w:rPr>
                <w:i w:val="1"/>
                <w:u w:val="single"/>
                <w:rtl w:val="0"/>
              </w:rPr>
              <w:t xml:space="preserve">deleģēto valsts funkciju</w:t>
            </w:r>
            <w:r w:rsidR="00000000" w:rsidRPr="00000000" w:rsidDel="00000000">
              <w:rPr>
                <w:i w:val="1"/>
                <w:rtl w:val="0"/>
              </w:rPr>
              <w:t xml:space="preserve"> tika noteikts  Atveseļošanas plānā [..]</w:t>
            </w:r>
            <w:r w:rsidR="00000000" w:rsidRPr="00000000" w:rsidDel="00000000">
              <w:rPr>
                <w:rtl w:val="0"/>
              </w:rPr>
              <w:t xml:space="preserve">". Vēršam uzmanību, ka privātpersonām var deleģēt valsts funkcijās ietilpstošu pārvaldes uzdevumu, nevis funkciju kopumā, līdz ar to lūdzam precizēt minēto informāciju, kā arī citas informatīvā ziņojuma daļas, kur minēta valsts funkciju deleģēšana. Papildus lūdzam norādīt, kas ir attiecīgais valsts pārvaldes uzdevums, kas atbilst 6.1.2.4.i. investīcijas “Infrastruktūras izveide kontroles dienestu funkciju īstenošanai Kundziņsalā” īstenošanas saturam, un kad attiecīgais uzdevums ir deleģēts.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Atļaut Finanšu ministrijai (VAS “Valsts nekustamie īpašumi”) šī protokollēmuma 2.punktā minētās Investīcijas īstenošanai paredzētā finansējuma ievaros, pēc ilgtermiņa nomas tiesību nostiprināšanas zemesgrāmatā uz VAS “Valsts nekustamie īpašumi” vārda, veikt ieguldījumus Satiksmes ministrijas valdījumā esošajā nekustamā īpašuma (kadastra Nr. 0100 096 2009) sastāvā esošās zemes vienības ar kopējo platību 1,3217 ha (kadastra apzīmējums 0100 096 2009) daļas aptuveni 0,017 ha platībā apvienotā gājēju un velosipēdu ceļa izbūvei.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protokollēmuma projekts papildināts ar jaunu 9.punktu par ieguldījumu veikšanu Satiksmes ministrijas valdījumā esošajā īpašumā, lūdzam papildināt informatīvo ziņojumu ar informāciju par šāda protokollēmuma punkta nepieciešamību (tiesisko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un informatīvā ziņojuma 1.nodaļā norādīto informāciju, ka atbalsts tiks piešķirts v</w:t>
            </w:r>
            <w:r w:rsidR="00000000" w:rsidRPr="00000000" w:rsidDel="00000000">
              <w:rPr>
                <w:u w:val="single"/>
                <w:rtl w:val="0"/>
              </w:rPr>
              <w:t xml:space="preserve">alsts deleģēta pārvaldes uzdevuma veikšanai</w:t>
            </w:r>
            <w:r w:rsidR="00000000" w:rsidRPr="00000000" w:rsidDel="00000000">
              <w:rPr>
                <w:rtl w:val="0"/>
              </w:rPr>
              <w:t xml:space="preserve">, kā arī informatīvā ziņojuma 8.nodaļā norādīto, ka "VNĪ un CFLA slēgs abpusēji saskaņotu līgumu par investīcijas projekta īstenošanu, kurā tiek ietverti iepriekš minētie pienākumi", neiebilstam pret informatīvā ziņojuma tālāku virzību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informatīvajā ziņojumā nepieciešams precizēt informāciju par deleģēto valsts pārvaldes uzdevumu. Tāpat atkārtoti vēršam uzmanību, ka ārpus deleģētā valsts pārvaldes uzdevuma izpildes privātpersonāi </w:t>
            </w:r>
            <w:r w:rsidR="00000000" w:rsidRPr="00000000" w:rsidDel="00000000">
              <w:rPr>
                <w:u w:val="single"/>
                <w:rtl w:val="0"/>
              </w:rPr>
              <w:t xml:space="preserve">nav saistoši </w:t>
            </w:r>
            <w:r w:rsidR="00000000" w:rsidRPr="00000000" w:rsidDel="00000000">
              <w:rPr>
                <w:rtl w:val="0"/>
              </w:rPr>
              <w:t xml:space="preserve">Ministru kabineta sēdes protokollēmumos, informatīvajos ziņojumos un iestāžu iekšējos normatīvajos aktos noteiktais, un ar šādiem dokumentiem nevar noteikt privātpersonas tiesības vai pienākumus, tai skaitā pienākumus investīcijas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arī uz to, ka izziņā ietvertā norāde uz "MK konceptuāli lemto, ka Atveseļošanas fonda plāna ieviešanu īsteno, izmantojot ES fondu vadības un kontroles sistēmu, tas ir[,] šīs sistēmas ietvaros darbojošos iestāžu pieredzi ES fondu administrēšanā, pielāgojot to Atveseļošanas fonda prasībām" pati par sevi nerada tiesisku pamatu Eiropas Savienības fondu vadību reglamentējošo normatīvo aktu piemērošanai Atveseļošanas un noturības mehānisma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precizējot protokollēmuma projektu, ir svītrots protokollēmuma projekta nosaukums. Lūdzam labot minēto tehnisko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24.05.2023.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24.05.2023.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