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2. komponentes "Digitālā transformācija" 2.3. reformu un investīciju virziena "Digitālās prasmes" 2.3.1.2.i. investīcijas "Uzņēmumu digitālo prasmju attīstība"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rast risinājumu un precizēt Projektā un Anotācijā procedūru saistībā ar Digitālā brieduma testēšanu (pirmreizējo un otrreizējo) un digitālās attīstības ceļa kartes izstrādi.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šīs programmas ietvaros aizstāt Eiropas Komisijas izstrādāto un EDIC nodrošināto digitālā brieduma testu ar Finansējuma saņēmēja īstenotajiem digitālo prasmju testēšanas rīkiem, kuri balstīti uz visiem Finansējuma saņēmējiem vienādu obligātās informācijas pozīciju iekļaušanu gala labuma guvēju testēšanā un obligātās informācijas pozīciju iekļaušanu digitālās attīstības ceļa kartes izstrādē.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samazināt administratīvo slogu programmas dalībniekiem saistībā ar otrreizējo digitālā brieduma testa veikšanu, jo saskaņā ar programmas nosacījumiem pēc digitālās attīstības ceļa kartē norādīto digitālo prasmju apmācību programmas vai kursa noslēguma tiek sagatavots apmācību sniedzēja vai gala labuma guvēja apliecinājums par sekmīgu apmācību īstenošanu, kas ir pietiekams un galīgs apliecinājums digitālās attīstības ceļa kartē norādīto pasākumu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izstrādātais un EDIC nodrošinātais digitālā brieduma tests ietver komersanta digitālā brieduma noteikšanu un šādus novērtējuma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 jūsu uzņēmums rīkojas, lai pārkvalificētu darbiniekus un paaugstinātu viņu kvalifikāciju digitalizācijas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 jūsu uzņēmums iesaista un pilnvaro savus darbiniekus, ieviešot digitālos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minētie jautājumi neietver padziļinātu konkrēto apmācību programmu novērtējumu, aicinām aizstāt otrreizējo digitālā brieduma testēšanu ar apliecinājumu par digitālās attīstības ceļa kartē norādīto apmācību īstenošanu. Attiecīgi EDIC, Finansējuma saņēmējs vai gala labuma guvējs ievada testēšanas sistēmā informāciju par digitālās attīstības ceļa kartē norādīto nosacījumu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Projekta vadības izmaksas, tai skaitā darba devēja valsts sociālās apdrošināšanas obligātās iemaksas, nepārsniedz 20 % no kopējām projekta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ar Ekonomikas ministrijas precizēto Ministru kabineta noteikumu projektu “Grozījumi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 (ID 24-TA-111) (turpmāk – Projekts) un paužam priekšlikumus Projekta sakarā.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 Aicinām ņemt vērā jau iepriekš LTRK izteikto viedokli (22.03.2024. atzinumā) un saglabāt jau šobrīd noteikumos apstiprināto redakciju:</w:t>
            </w:r>
            <w:r w:rsidR="00000000" w:rsidRPr="00000000" w:rsidDel="00000000">
              <w:rPr>
                <w:rtl w:val="0"/>
              </w:rPr>
              <w:t xml:space="preserve"> “</w:t>
            </w:r>
            <w:r w:rsidR="00000000" w:rsidRPr="00000000" w:rsidDel="00000000">
              <w:rPr>
                <w:i w:val="1"/>
                <w:rtl w:val="0"/>
              </w:rPr>
              <w:t xml:space="preserve">53. Projekta vadības izmaksas, tai skaitā darba devēja valsts sociālās apdrošināšanas obligātās iemaksas, nepārsniedz 20% no kopējām projekta iesniegumā apstiprinātajām izmaksām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LTRK iebilst Projekta 53. punktam. </w:t>
            </w:r>
            <w:r w:rsidR="00000000" w:rsidRPr="00000000" w:rsidDel="00000000">
              <w:rPr>
                <w:rtl w:val="0"/>
              </w:rPr>
              <w:t xml:space="preserve">Ņemot vērā, ka šobrīd spēkā esošā noteikumu redakcija ir Ekonomikas ministrijas un pārējo institūciju iepriekš saskaņota, aicinām saglabāt līdzšinējo noteikumu redakciju un nepasliktināt situāciju organizācijām, kas uzņemas projektu vadību, jo noteikumu grozījumu projektā iekļautā izmainītā redakcija ir dažādi interpretējama un var novest projekta īstenotājus pie nepamatotām soda sankcijām arī veiksmīgi īstenota projekta rezultātā, kas būtu klajā pretrunā ar programmas sasniedzamajiem mērķiem un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veikt izmaiņas Projekta 53. punktā, saglabājot līdzšinējo noteikumu redakciju, kas nosaka, ka projekta vadības izmaksas, tai skaitā darba devēja valsts sociālās apdrošināšanas obligātās iemaksas, nepārsniedz 20% no kopējām projekta iesniegumā apstiprinātajām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Alternatīvi rosinām papildināt Anotāciju ar teikumu:</w:t>
            </w:r>
            <w:r w:rsidR="00000000" w:rsidRPr="00000000" w:rsidDel="00000000">
              <w:rPr>
                <w:rtl w:val="0"/>
              </w:rPr>
              <w:t xml:space="preserve"> “Projekta vadības izmaksu 20% ierobežojums tiek noteikts no projekta pieteikumā apstiprinātājām izmaksām un var tikt pārskatīts vienīgi gadījumā, ja projekta plānotie radītāji nav sasniegti atbilstošā apmērā un finansējuma saņēmējam nav izveidojies neizlietotais finansējums apmācību izmaksu budžeta pozīcijās.”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atstāt esošo 53. punkta redakciju vai norādīt papildu informāciju Anotācijā, jo projekta vadības izmaksas ir fiksētas un sadalītas daļās pa mēnešiem, savukārt apmācību izmaksas mainīgas un nav tieši piesaistītas projekta vadības darba uzdevumu veikšanai. Kopumā projekta īstenošanas mērķis ir rādītāju sasniegšana, kas iespējama arī ar mazākiem apmācību izdevumiem (jo precīzi nav paredzami komersantu apmācību pieprasījuma apjomi finanšu izteiksmē), ietaupot AF līdzekļus. Projekta vadības darba uzdevumi un izmaksas tiek fiksētas, noslēdzot projekta vadības darba vai pakalpojumu līgumus projekta sākumā.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pieļaujama situācija, ka projekta noslēgumā Finansējuma saņēmējs ir sekmīgi īstenojis projektu un rādītāji ir sasniegti, bet vienlaicīgi Finansējuma saņēmējam tiek piemērotas soda sankcijas un finanšu korekcijas, ja faktiski projekta vadības izmaksu proporcija pret apmācību tiešajām izmaksām pārsniedz 20%, kas noteicis uz apmācību attiecināmo izdevumu ietaupījuma rēķina.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pieļaujama situācija, ka piešķirot valsts atbalstu gala saņēmējiem, Finansējuma saņēmējs dod priekšroku vai arī veicina finansiāli apjomīgāku apmācību aktivitāšu izmaksu pieteikumus, jo valsts atbalsta procedūras un projekta īstenošanas darbības ir vienlīdzīgas gan mazu, gan lielu izmaksu apmācībām.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24-TA-111</w:t>
    </w:r>
    <w:r>
      <w:br/>
    </w:r>
    <w:r w:rsidR="00000000" w:rsidRPr="00000000" w:rsidDel="00000000">
      <w:rPr>
        <w:rtl w:val="0"/>
      </w:rPr>
      <w:t xml:space="preserve">Izdrukāts 10.05.2024. 16.35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24-TA-111</w:t>
    </w:r>
    <w:r>
      <w:br/>
    </w:r>
    <w:r w:rsidR="00000000" w:rsidRPr="00000000" w:rsidDel="00000000">
      <w:rPr>
        <w:rtl w:val="0"/>
      </w:rPr>
      <w:t xml:space="preserve">Izdrukāts 10.05.2024. 16.35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Atzinumi_24-TA-111.docx</dc:title>
</cp:coreProperties>
</file>

<file path=docProps/custom.xml><?xml version="1.0" encoding="utf-8"?>
<Properties xmlns="http://schemas.openxmlformats.org/officeDocument/2006/custom-properties" xmlns:vt="http://schemas.openxmlformats.org/officeDocument/2006/docPropsVTypes"/>
</file>