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10. decembra noteikumos Nr. 730 "Ekspluatējamu ēku energoefektivitātes minimālās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anotācijas 1.2. apakšsadaļā minēto noteikumu projekta spēkā stāšanās termiņu ar noteikumu projektu, kam attiecīgs spēkā stāšanās termiņš nav paredzēts.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arī pārējo </w:t>
            </w:r>
            <w:r w:rsidR="00000000" w:rsidRPr="00000000" w:rsidDel="00000000">
              <w:rPr>
                <w:i w:val="1"/>
                <w:rtl w:val="0"/>
              </w:rPr>
              <w:t xml:space="preserve">Eiropas Parlamenta un Padomes 2024. gada 24. aprīļa Direktīvas (ES) Nr. 2024/1275 par ēku energosniegumu</w:t>
            </w:r>
            <w:r w:rsidR="00000000" w:rsidRPr="00000000" w:rsidDel="00000000">
              <w:rPr>
                <w:rtl w:val="0"/>
              </w:rPr>
              <w:t xml:space="preserve"> normu pārņemšanu nacionālajā tiesību sistēmā, jo īpaši, bet ne tikai - arī 10. panta 1., 2. punkta, 3. punkta "a", "c", "d" un "e" apakšpunkta, 4. punkta pirmās un otrās daļas un 5. punkta, 13. panta 3., 4., 6., 7., 9., 10. punkta un 12. punkta otrās daļas, 14. panta 1., 4., 6.-9.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detalizētāk (atsevišķi skaidrojot 13. panta 1. punkta daļas) atspoguļojot minētās direktīvas 13. panta 1. punkta pārņemšanu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skaidrot, kādēļ ir vai nav izmantota minētās direktīvas rīcības brīvība, tostarp arī 10. panta 4. punkta trešajā daļā, 13. panta 1. punkta trešajā daļā, 2. punktā, 6. punkta ceturtajā daļā, 11. punkta otrajā daļā, 14. panta 2. punkta trešajā daļā, 3.,5. punktā u.c. paredzētā rīcības brīvība.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Nedzīvojamām ēkām, ja tas ir tehniski piemēroti, ekonomiski un funkcionāli īstenojami, nodrošina automātisku apgaismojuma vadības ierīču uzstādīšanu.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korespondējošā direktīvas norma paredz kā priekšnoteikumu attiecīgajai nodrošināšanai: "ja tas ir tehniski un ekonomiski iespējams", tādēļ lūdzam izvērtēt un nepieciešamības gadījumā noteikumu projekta anotācijā pamatot plašāka izņēmuma noteikšanu attiecībā uz minētajiem priekšnoteikumiem vai precizēt noteikumu projekta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Nedzīvojamām ēkām, ja tas ir tehniski un ekonomiski īstenojami, nodrošina automātisku apgaismojuma vadības ierīču uzstādīšanu."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publiskās personas iestāde šo noteikumu izpratnē ir valsts, reģionālās vai vietējās iestādes un subjekti, ko minētā iestāde tieši finansē un pārvalda, bet kam nav rūpnieciska vai komerciāla rakstura. Saistībā ar minēto vēršam uzmanību, ka termins "publiskas personas iestāde" lietots (termini "publiskas personas" un "iestāde" skaidroti šajā likumā) Valsts pārvaldes iekārtas likumā, par ko nav gūstama pārliecība, ka noteikumu projekta anotācijā minētajam terminam būtu atbilstošs tvērums. Ievērojot minēto, lai izslēgtu interpretācijas iespējas attiecībā uz termina "publiskas personas iestādes" tvērumu un, ievērojot to, ka anotācijā sniegtajai informācijai nav juridiski saistoša spēka, aicinām noteikumu projektā, ja tas nepieciešams un atbilst Energoefektivitātes likumā noteiktajam, precīzāk noteikt, uz kādiem konkrēti subjektiem attiecināmas noteikumu projekta prasības, izmantojot Valsts pārvaldes iekārtas likumā un, ja attiecināms, citos likumos (piem., Publiskas personas kapitāla daļu un kapitālsabiedrību pārvaldības likumā) lietoto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12.2. </w:t>
            </w:r>
            <w:r w:rsidR="00000000" w:rsidRPr="00000000" w:rsidDel="00000000">
              <w:rPr>
                <w:rtl w:val="0"/>
              </w:rPr>
              <w:t xml:space="preserve">apakšpunktā</w:t>
            </w:r>
            <w:r w:rsidR="00000000" w:rsidRPr="00000000" w:rsidDel="00000000">
              <w:rPr>
                <w:rtl w:val="0"/>
              </w:rPr>
              <w:t xml:space="preserve"> noteiktā prasība par vietu skaitu velosipēdu stāvvietā neattiecas uz tām nedzīvojamām ēkām, kurām parasti ar velosipēdu nepiekļūst.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iesakām noteikumu projekta anotācijā skaidrot (nepieciešamības gadījumā - piemērveidā), kādām nedzīvojamām ēkām parasti ar velosipēdu nepiekļūst. Vienlaikus vēršam uzmanību, ka korespondējošajā direktīvas vienībā norādīts, ka dalībvalsts var noteikt attiecīgu ēku </w:t>
            </w:r>
            <w:r w:rsidR="00000000" w:rsidRPr="00000000" w:rsidDel="00000000">
              <w:rPr>
                <w:u w:val="single"/>
                <w:rtl w:val="0"/>
              </w:rPr>
              <w:t xml:space="preserve">kategorijas</w:t>
            </w:r>
            <w:r w:rsidR="00000000" w:rsidRPr="00000000" w:rsidDel="00000000">
              <w:rPr>
                <w:rtl w:val="0"/>
              </w:rPr>
              <w:t xml:space="preserve">, tādēļ lūdzam arī izvērtēt, vai noteikumu projektā nav jānorāda konkrētu veidu kategorijas, ja tas ir iespējams un pamatoti, tādējādi arī atvieglojot konkrētās noteikumu projekta normas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 Līdz 2033. gada 1. janvārim nedzīvojamā ēkā, kas ir publiskās personas iestādes īpašumā, ierīko kabeļus vismaz 50 % automašīnu stāvvietām.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Valsts pārvaldes iekārtas likumam publiskas personas manta atrodas iestādes valdījumā, attiecīgi arī nedzīvojamās ēkas ir publiskas personas īpašums, bet iestādei tās ir valdījumā, tādēļ lūdzam atbilstoši precizēt noteikumu projekta 10. punktu un nepieciešamības gadījumā - arī citas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26-TA-329</w:t>
    </w:r>
    <w:r>
      <w:br/>
    </w:r>
    <w:r w:rsidR="00000000" w:rsidRPr="00000000" w:rsidDel="00000000">
      <w:rPr>
        <w:rtl w:val="0"/>
      </w:rPr>
      <w:t xml:space="preserve">Izdrukāts 30.04.2026. 14.56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26-TA-329</w:t>
    </w:r>
    <w:r>
      <w:br/>
    </w:r>
    <w:r w:rsidR="00000000" w:rsidRPr="00000000" w:rsidDel="00000000">
      <w:rPr>
        <w:rtl w:val="0"/>
      </w:rPr>
      <w:t xml:space="preserve">Izdrukāts 30.04.2026. 14.56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Atzinumi_26-TA-329.docx</dc:title>
</cp:coreProperties>
</file>

<file path=docProps/custom.xml><?xml version="1.0" encoding="utf-8"?>
<Properties xmlns="http://schemas.openxmlformats.org/officeDocument/2006/custom-properties" xmlns:vt="http://schemas.openxmlformats.org/officeDocument/2006/docPropsVTypes"/>
</file>