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ceturtajai kārtai plānotais un pieejamais kopējais attiecināmais finansējums ir 5 622 757 </w:t>
            </w:r>
            <w:r w:rsidR="00000000" w:rsidRPr="00000000" w:rsidDel="00000000">
              <w:rPr>
                <w:i w:val="1"/>
                <w:rtl w:val="0"/>
              </w:rPr>
              <w:t xml:space="preserve">euro</w:t>
            </w:r>
            <w:r w:rsidR="00000000" w:rsidRPr="00000000" w:rsidDel="00000000">
              <w:rPr>
                <w:rtl w:val="0"/>
              </w:rPr>
              <w:t xml:space="preserve">, tai skaitā Eiropas Sociālā fonda Plus finansējums – 4 779 343</w:t>
            </w:r>
            <w:r w:rsidR="00000000" w:rsidRPr="00000000" w:rsidDel="00000000">
              <w:rPr>
                <w:i w:val="1"/>
                <w:rtl w:val="0"/>
              </w:rPr>
              <w:t xml:space="preserve"> euro</w:t>
            </w:r>
            <w:r w:rsidR="00000000" w:rsidRPr="00000000" w:rsidDel="00000000">
              <w:rPr>
                <w:rtl w:val="0"/>
              </w:rPr>
              <w:t xml:space="preserve"> un valsts budžeta līdzfinansējums – 843 414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14.1.apakšpunktam kā projekta iesniedzējs ir noteikta pašvaldība vai tās izveidots sociālo pakalpojumu sniedzējs. Lūdzam precizēt noteikumu projekta 8.punktu, saglabājot 4.3.5.1.pasākuma iepriekšējo kārtu ietvaros paredzēto, ka nacionālo līdzfinansējumu veido valsts un pašvaldību budžeta finansējums, vienlaikus norādot, ka pašvaldību budžetu kā līdzfinansējuma avotu projektā plāno šo noteikumu 14.1.apakšpunktā minētie projektu iesniedzēji, savukārt valsts budžetu kā līdzfinansējumu – šo noteikumu 14.2.apakšpunktā minētie projektu iesniedzēji. Attiecīgi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plānoto ietekmi uz tautsaimniecību, t.sk. norādot pēc iespējas izmērāmus faktiski sagaidāmos rezultātus/rādītājus, papildus Eiropas Savienības kohēzijas politikas programmā 2021.-2027.gadam noteiktajiem rādītājiem.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vienā vai vairākās plānošanas reģiona teritorijā esošajās pašvaldībās, ja projekta iesniedzējs ir šo noteikumu 14.2. apakšpunktā minētais projekta iesniedzējs. Ja sabiedrībā balstītu sociālo pakalpojumu snigšanu ir plānots nodrošināt vairākos plānošanas reģionos, projekta iesniedzējs iesniedz atsevišķu projekta iesniegumu par sabiedrībā balstītu sociālo pakalpojumu sniegšanu katrā no plānošanas reģioniem.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16.2.apakšpunktu, vārda “snigšanu” vietā lietojot vārdu “sniegšana” un vienlaikus 27.punktu, vārda “saņem” vietā lietojot vārdu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2021/1060 64. panta 1. punkta "c" apakšpunktā minētajiem nosacījumiem,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21. punktā ietvertās piebildes "ja tas nav atgūstams atbilstoši normatīvajiem aktiem nodokļu politikas jomā"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"i" punkta nosacījumiem darbībām, kuru kopējās izmaksas ir mazākas nekā 5 000 000 euro (ieskaitot pievienotās vērtības nodokli), pievienotās vērtības nodokļa izmaksas ir attiecināmas; savukārt no "ii" punkta izriet, ka darbībām, kuru kopējās izmaksas ir vismaz 5 000 000 euro (ieskaitot pievienotās vērtības nodokli), pievienotās vērtības nodokļa izmaksas ir attiecināmas gadījumos, kad tas nav atgūstams saskaņā ar pievienotās vērtības nodokli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apakšsadaļā "Risinājuma apraksts" norādīts, ka 4.3.5.1. pasākuma 4. kārtas viena projekta maksimālā attiecināmo izmaksu kopsumma nevarēs būt lielākā par 426 300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svītrot noteikumu projekta 21. punktā vārdus "ja tas nav atgūstams atbilstoši normatīvajiem aktiem nodokļu politikas jomā", ņemot vērā, ka paredzēts īstenot tikai tādus projektus, kuru kopējās izmaksas ir mazākas nekā 5 000 000 euro (ieskaitot pievienotās vērtības nodokli),  kā arī nav plānots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2021/1060 64. panta 1. punkta "c" apakšpunktā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nodaļu "Pasākuma un projekta īstenošanas nosacījumi" ar normu, kas paredz, ka finansējuma saņēmējs uzņemas segt sadārdzinājuma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ievēro Ministru kabineta 2017. gada 28. februāra noteikumos Nr. 104 “Noteikumi par iepirkuma procedūru un tās piemērošanas kārtību pasūtītāja finansētiem projektiem” noteikto līguma slēgšanas tiesību piešķiršanas procedūru (ja attiecināms) un noteiktos ierobežojumus šādu līgumu slēgšanai, tai skaitā aizpilda un paraksta to 1. pielikumā noteikto apliecinājumu par interešu konflikta neesību un pievieno to iepirkuma līgumu slēgšanas dokumentācijai.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noteikumu 14.2.apakšpunktā minētais cits sociālo pakalpojumu sniedzējs ir biedrība vai nodibinājums, tad tam ir jāizvērtē, vai iepirkumi ir jāveic, ievērojot Publiskā iepirkumu likuma vai Ministru kabineta noteikumu Nr.104 regulējumu. Lūgums atbilstoši precizēt noteikumu 31.2.apakšpunkta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informācijas par šo ir atrodama Centrālās finanšu un līgumu aģentūras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https://www.cfla.gov.lv/lv/jaunums/noderigi-materials-biedribam-par-iepirkumu-veiksanu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nacionālo dokumentu (pamatnostādnes, plāns, MKN utt.) kura ietvaros ir plānotas 4.3.5.1. pasākuma 4. kārtas īstenošanas darbības un mērķi, lai pārliecinātos, ka tiek veikta ieguldījumu priekšnosacījumu izpildes nodrošināšana visa plānošanas perioda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intervences kodu sadalījumu "ESF+ sekundārās tēmas" ietvaros, ņemot vērā, kā Eiropas Savienības kohēzijas politikas programmas 2021.–2027. gadam grozījumos Nr. 3 piedāvātais sadalījumu ir 50% un 50%: 06. kods “Bērnu nabadzības problēmas risināšana” 2 389 672 euro un 09. kods “Nepiemēro” 2 389 671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2025.gadā, nepieciešams anotācijas 3.sadaļas “Tiesību akta projekta ietekme uz valsts budžetu un pašvaldību budžetiem” tabulas ailēs precizēt norādītos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norādīts, ka ESF Plus finansējuma apmērs nepārsniedz 85 procentus, līdz ar to ir precizējama anotācijas 3.sadaļas 6.punktā otrā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3. punktā noteikto, lūdzam aizpildīt anotācijas 4. sadaļu, ietverot informāciju par plānotajiem paralēli virzītajiem grozījumiem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nodrošināt, ka 4.3.5.1. pasākuma "Sabiedrībā balstītu sociālo pakalpojumu pieejamības palielināšana" (turpmāk – 4.3.5.1. pasākums) 4. kārtas ietvaros līgumi vai vienošanās par projektu īstenošanu ar finansējuma saņēmējiem tiek slēgti tikai pēc Ministru kabineta 2024. gada 12. marta noteikumu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 kas paredz 4.3.5.1.pasākuma 1. kārtas kopējā attiecināmā finansējuma samazināšanu, spēkā stāšanās.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ievērot tiesību akta projekta teksta stilistiku un precizēt Ministru kabineta sēdes protokollēmuma projekta 3.punktu, skaitļa un vārda “4.kārtas” vietā lietojot vārdus “ceturtās kārtas” un skaitļa un vārda “1.kārtas” vietā lietojot vārdus “pirmās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nodrošināt, ka 4.3.5.1. pasākuma "Sabiedrībā balstītu sociālo pakalpojumu pieejamības palielināšana" (turpmāk – 4.3.5.1. pasākums) 4. kārtas ietvaros līgumi vai vienošanās par projektu īstenošanu ar finansējuma saņēmējiem tiek slēgti tikai pēc Ministru kabineta 2024. gada 12. marta noteikumu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 kas paredz 4.3.5.1.pasākuma 1. kārtas kopējā attiecināmā finansējuma samazināšanu, spēkā stāšanās.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3.punktā ir norādīts, ka 4.3.5.1. pasākuma "Sabiedrībā balstītu sociālo pakalpojumu pieejamības palielināšana" (turpmāk – 4.3.5.1. pasākums) ceturtās kārtas ietvaros līgumi vai vienošanās par projektu īstenošanu ar finansējuma saņēmējiem tiks slēgti tikai pēc Ministru kabineta 2024. gada 12. marta noteikumu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 (turpmāk – MK noteikumi Nr.173) spēkā stāšanās. Ņemot vērā, ka 2024.gada 4.decembrī Finanšu ministrijā uz atzinumu tika iesniegti grozījumi MK noteikumos Nr.173 (TAP 24-TA-2836), kas paredz precizēt minēto noteikumu nosaukumu, to papildinot ar 4.3.5.1.pasākuma piekto kārtu, precizējams Ministru kabineta sēdes protokollēmuma projekta 3.punkts, norādot, ka nosacījums attiecas uz grozījumiem MK noteikumos Nr.173. Attiecīgi precizējama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24-TA-2837</w:t>
    </w:r>
    <w:r>
      <w:br/>
    </w:r>
    <w:r w:rsidR="00000000" w:rsidRPr="00000000" w:rsidDel="00000000">
      <w:rPr>
        <w:rtl w:val="0"/>
      </w:rPr>
      <w:t xml:space="preserve">Izdrukāts 02.01.2025.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24-TA-2837</w:t>
    </w:r>
    <w:r>
      <w:br/>
    </w:r>
    <w:r w:rsidR="00000000" w:rsidRPr="00000000" w:rsidDel="00000000">
      <w:rPr>
        <w:rtl w:val="0"/>
      </w:rPr>
      <w:t xml:space="preserve">Izdrukāts 02.01.2025.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Atzinumi_24-TA-2837.docx</dc:title>
</cp:coreProperties>
</file>

<file path=docProps/custom.xml><?xml version="1.0" encoding="utf-8"?>
<Properties xmlns="http://schemas.openxmlformats.org/officeDocument/2006/custom-properties" xmlns:vt="http://schemas.openxmlformats.org/officeDocument/2006/docPropsVTypes"/>
</file>