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Valdes un padomes locekļu skaita un atalgojuma noteikšanas kārtība publiskas personas kapitāla daļu pārvaldīšanas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mainīgā atlīdzības daļa ir regulēta Kapitālsabiedrību pārvaldības likumā (prēmija līdz 2 mēneša atlīdzībām), bet ar projektu to ir plānots diferencēt pēc kapitālsabiedrības iedalījuma grupā atbilstoši kapitālsabiedrības finansējuma avotiem, lūdzam paredzēt pārejas noteikumu ar samērīgu pārejas periodu, nosakot, ka par 2024.gada rezultātiem 2.pielikumā noteiktais maksimālais prēmijas apmērs nav attiecināms.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Krūmiņa (Šampētera nams)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10.05.2025. 12.35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10.05.2025. 12.35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Atzinumi_25-TA-728.docx</dc:title>
</cp:coreProperties>
</file>

<file path=docProps/custom.xml><?xml version="1.0" encoding="utf-8"?>
<Properties xmlns="http://schemas.openxmlformats.org/officeDocument/2006/custom-properties" xmlns:vt="http://schemas.openxmlformats.org/officeDocument/2006/docPropsVTypes"/>
</file>