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tekstā esošās drukas kļūdas, lietotās punktuācijas (domuzīmes, punkti un komati), kā arī atstarpes starp ievietotajiem skaitļiem un to pavadošajiem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41) bezemisiju zona -  teritorija, kas noteikta ar mērķi samazināt transporta radīto negatīvo ietekmi uz sabiedrības veselību un vidi un kurā tiek atļauta tikai tādu vieglo pasažieru automobiļu, mikroautobusu un vieglo komerciālo transportlīdzekļu iebraukšana, kuriem nav iekšdedzes motors, kā arī tādu lielas noslodzes bezemisiju transportlīdzekļu iebraukšana, kas definēti Eiropas Parlamenta un Padomes 2019. gada 20. jūnija Regulas (ES) 2019/1242 par CO</w:t>
            </w:r>
            <w:r w:rsidR="00000000" w:rsidRPr="00000000" w:rsidDel="00000000">
              <w:rPr>
                <w:vertAlign w:val="subscript"/>
                <w:rtl w:val="0"/>
              </w:rPr>
              <w:t xml:space="preserve">2</w:t>
            </w:r>
            <w:r w:rsidR="00000000" w:rsidRPr="00000000" w:rsidDel="00000000">
              <w:rPr>
                <w:rtl w:val="0"/>
              </w:rPr>
              <w:t xml:space="preserve"> emisiju standartu noteikšanu jauniem lielas noslodzes transportlīdzekļiem un ar kuru groza Eiropas Parlamenta un Padomes Regulas (EK) Nr. 595/2009 un (ES) 2018/956 un Padomes Direktīvu 96/53/EK, 3. panta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pēc iespējas papildināt ar piepildi par operatīvajiem, un invalīdu pārvietošanas transportlīdzekļiem, transportlīdzekļiem kam ir iekšdedzes dzinējs, bet izmanto alternatīvo degvielu, piemēram, kā ūdeņradi. Kā arī iespējamo izņēmumu ārvalstu tūristiem, kas pārvietojas ar privāto transportlīdzekli.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42) cietā biomasa - produkti, kuri sastāv no augu izcelsmes materiāliem no lauksaimniecības vai mežsaimniecības produkti, kuri sastāv no augu izcelsmes materiāliem no lauksaimniecības vai mežsaimniecības.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labojumus tekstā, dublējas teksts definīcijas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cietā biomasa - produkti, kuri sastāv no augu izcelsmes materiāliem no lauksaimniecības vai mežsaimniecības produkti, </w:t>
            </w:r>
            <w:r w:rsidR="00000000" w:rsidRPr="00000000" w:rsidDel="00000000">
              <w:rPr>
                <w:strike w:val="1"/>
                <w:rtl w:val="0"/>
              </w:rPr>
              <w:t xml:space="preserve">kuri sastāv no augu izcelsmes materiāliem no lauksaimniecības vai mežsaimniecības.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(6) Gaisa piesārņojuma vidējās iedarbības samazināšanas pienākums ir procentos izteikts lielums, kas noteikts, lai valstī kopumā jsamazinātu vidējo gaisa piesārņojumu pilsētas fona teritorijās un, kas noteikts, lai kopumā valstī mazinātu gaisa piesārņojuma radīto kaitīgo ietekmi uz cilvēka veselību, un kas jāsasniedz konkrētā termiņā un ko pēc sasniegšanas nedrīkst pārsniegt;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tekstu ir ievērota drukas kļūda vārdā samazinātu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Pašvaldība var šā panta pirmajā daļā minēto plānu un tajā ietvertos pasākumus ietvert arī šā  likuma 11</w:t>
            </w:r>
            <w:r w:rsidR="00000000" w:rsidRPr="00000000" w:rsidDel="00000000">
              <w:rPr>
                <w:vertAlign w:val="superscript"/>
                <w:rtl w:val="0"/>
              </w:rPr>
              <w:t xml:space="preserve">10</w:t>
            </w:r>
            <w:r w:rsidR="00000000" w:rsidRPr="00000000" w:rsidDel="00000000">
              <w:rPr>
                <w:rtl w:val="0"/>
              </w:rPr>
              <w:t xml:space="preserve">. pantā noteiktajā ilgtermiņa rīcības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pantu numerāciju un ievērot vienotu stilu.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10</w:t>
            </w:r>
            <w:r w:rsidR="00000000" w:rsidRPr="00000000" w:rsidDel="00000000">
              <w:rPr>
                <w:rtl w:val="0"/>
              </w:rPr>
              <w:t xml:space="preserve">. pantā tekstu izteikt šādā redakcijā - 11.</w:t>
            </w:r>
            <w:r w:rsidR="00000000" w:rsidRPr="00000000" w:rsidDel="00000000">
              <w:rPr>
                <w:vertAlign w:val="superscript"/>
                <w:rtl w:val="0"/>
              </w:rPr>
              <w:t xml:space="preserve">10</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ierobežo vai aizliedz apkures iekārtu uzstādīšanu un darbināšanu, kurās kā kurināmais tiek izmantota cietā biomasa, ogles vai kūdra;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papildinājumus par to kādā mērā privātpersonām būs iespējams apstrīdēt pašvaldības noteiktos ierobežojumus. Vai pašvaldības/ valsts sniegs atbalstu apkures sistēmu nomaiņai un jaunu pielāgotu sistēmu uzstādīšanai, lai iedzīvotāji spētu pielāgoties jaunajiem noteikumiem. Vai tiek paredzēti izņēmumi mazaizsargātajām sociālekonomiskajām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kādas emisiju klases transportlīdzekļu iebraukšana zemo emisiju zonā tiek aizliegta vai ierobežota;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labojumus - šis punkts ir pretrunās ar šā paša panta 1) punktu, kurā ir noteikta zemo emisijas zonu aizliegumi konkrētām transportlīdzekļu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Zemo emisiju zonas un bezemisiju zonas administrēšanas un transportlīdzekļu iebraukšanas kontroles nodrošināšanai pašvaldība bez maksas var  izmantot datus no šādām valsts un pašvaldības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informāciju par to kā tiks veikta datu uzkrāšana, vai tiks veikti ierobežojošie pasākumi, lai aizsargātu fizisko personu datus no nelikumīgas izmantošanas, sniegt informāciju par uzglabāšanas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ierobežo jaunu dzīvojamo ēku un publisko ēku izvietošanu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ievietot teikuma beigās punktu un papildināt tekstu ar plašāku paskaidrojumu par publiskajām ēkām, to veidiem un to izvietojumu, kas būtu kritisks.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Aizstāt 14.panta otrajā daļā aizstāt vārdus "rīcības programmu vai īstermiņa rīcības programmu" ar vārdiem "ilgtermiņa vai īstermiņa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teikuma struktūru vārds aizstāt atkārtojas veidojot nepareizu teikuma konstrukciju.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(3) Potenciālais deleģējuma līguma slēdzējs iesniedz izvērtēšanai Klimata un enerģētikas ministrijā rakstveida pieteikumu deleģējuma līguma slēgšanai. Ar potenciālo deleģējuma līguma slēdzēju, kuru Klimata un enerģētikas ministrija izraudzījusi, deleģējuma līgumu slēdz ne ilgāk kā uz pieciem gadiem.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labojumus trešajā un ceturtajā daļā, abās daļās teksts ir vienāds.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2) resursu, materiālu un aprīkojuma pieejamībai, kas nepieciešami operators darbību veikšanai sabiedrības interesēs, ievērojot piemērojamās mazāk stingrās emisiju robežvērtības vai vides snieguma robežvērtības;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pieļauto drukas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Nepareizs vārda locījums -  operators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redakcijā - operatora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w:t>
            </w:r>
            <w:r w:rsidR="00000000" w:rsidRPr="00000000" w:rsidDel="00000000">
              <w:rPr>
                <w:b w:val="1"/>
                <w:rtl w:val="0"/>
              </w:rPr>
              <w:t xml:space="preserve">"IX</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Kompensācija par veselībai nodarīto kaitējumu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papildinājumus par to kā tiks noteikts kompensācijas apjoms, vai tiks iekļauta gan mantiskais, gan nemantiskais kaitējums. Ja operators atsakās izmaksāt kompensāciju, vai tajā gadījumā slimnīcas izsniegtais atzinums ir pietiekams, lai tiesa nolemtu par labu cietējam. Kādā veidā tiks piedzīta samaksa no operatora un kādā termiņā tas tiks darīts.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(1) Ja privātpersonai ir pamatotas aizdomas, ka A kategorijas piesārņojošas darbības operators ir pārkāpis atļaujas nosacījumus vai vides aizsardzības prasības, kuru rezultātā privātpersonai ir nodarīts kaitējums viņa veselībai, privātpersona var vērsties Valsts vides dienestā, lai saņemtu informāciju par A kategorijas piesārņojošas darbības operatora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tiks noteikts vai, piemēram, mājputnu un mājlopu saslimšanas tika izraisītas no operatora darbības un vai tas tiks iekļauts kompensācijas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(4) Universitātes slimnīca pieņem privātpersonai pozitīvu lēmumu, ja tiek konstatēta cēloņsakarība starp privātpersonai nodarīto kaitējumu veselībai un A kategorijas piesārņojošas darbības operatora pārkāpumiem. Ja cēloņsakarība netiek konstatēta, kompetentā institūcija pieņem lēmumu par atteikumu , norādot, ka nepastāv cēloņsakarība starp operatora pārkāpumiem un personas veselībai nodarīto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 sniegt skaidrojumu kāda veida atzinums tiks iešķirts personai pēc cēloņsakarību noteikšanas. Vai tas būs izraksts no konkrēta speciālista? Vai tiks veikta sadarbība starp VVD un slimnīcu, kur gala atzinumu administratīvā akta formā izsniegs VVD? Kāds būs juridiskais spēks šim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papildinājumus pār to kā tiks noteikts kaitējumus no gaisa piesārņojuma vai tiks izvietotas mēriekārtas personas dzīves/darba vietas teritorijā, lai noteiktu piesārņojuma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 tiks izvērtētas hroniskas saslimšanas, kas var būt cēlonis vairāku piesārņotāju mijiedarbībai no vairākiem operatoriem , kā arī kā tiks noteikts vai saslimšana/ kaitējums ir nodarīts tieša piesārņojuma rezultātā, nevis no pašas personas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pants. "89.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pantu numerāciju un drukas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punktu kurā minēts, ka 11.</w:t>
            </w:r>
            <w:r w:rsidR="00000000" w:rsidRPr="00000000" w:rsidDel="00000000">
              <w:rPr>
                <w:vertAlign w:val="superscript"/>
                <w:rtl w:val="0"/>
              </w:rPr>
              <w:t xml:space="preserve">15</w:t>
            </w:r>
            <w:r w:rsidR="00000000" w:rsidRPr="00000000" w:rsidDel="00000000">
              <w:rPr>
                <w:rtl w:val="0"/>
              </w:rPr>
              <w:t xml:space="preserve"> panta sestajā un septītajā daļā minētie noteikumi, taču šī dokumenta 11.15 panta ir tikai 4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punktu kurā minēts </w:t>
            </w:r>
            <w:r w:rsidR="00000000" w:rsidRPr="00000000" w:rsidDel="00000000">
              <w:rPr>
                <w:i w:val="1"/>
                <w:rtl w:val="0"/>
              </w:rPr>
              <w:t xml:space="preserve">"Ministru kabinets izdod šā likuma 65. panta septītajā daļā minētos noteikumus" ,</w:t>
            </w:r>
            <w:r w:rsidR="00000000" w:rsidRPr="00000000" w:rsidDel="00000000">
              <w:rPr>
                <w:rtl w:val="0"/>
              </w:rPr>
              <w:t xml:space="preserve"> tomēr izskatot dokumentu netika konstatēts 65. pants un tā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 izteikt šādā redakcijā -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 pantā un 11.</w:t>
            </w:r>
            <w:r w:rsidR="00000000" w:rsidRPr="00000000" w:rsidDel="00000000">
              <w:rPr>
                <w:vertAlign w:val="superscript"/>
                <w:rtl w:val="0"/>
              </w:rPr>
              <w:t xml:space="preserve">9</w:t>
            </w:r>
            <w:r w:rsidR="00000000" w:rsidRPr="00000000" w:rsidDel="00000000">
              <w:rPr>
                <w:rtl w:val="0"/>
              </w:rPr>
              <w:t xml:space="preserve">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novērota vārda piemēro dublēšanās 104.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sniegtās definīcijas starp anotāciju un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40. punktā ir sniegta citādāka definīcijas apkures iekārtai nekā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sniegts skaidrojums, ka pašvaldības savas teritorijas robežās var noteikt zemo emisijas zonu un tajā iebraucošo transportlīdzekļu klasi, tomēr likumprojekta 11.</w:t>
            </w:r>
            <w:r w:rsidR="00000000" w:rsidRPr="00000000" w:rsidDel="00000000">
              <w:rPr>
                <w:vertAlign w:val="superscript"/>
                <w:rtl w:val="0"/>
              </w:rPr>
              <w:t xml:space="preserve">14</w:t>
            </w:r>
            <w:r w:rsidR="00000000" w:rsidRPr="00000000" w:rsidDel="00000000">
              <w:rPr>
                <w:rtl w:val="0"/>
              </w:rPr>
              <w:t xml:space="preserve"> panta (1) sadaļas 1) punktā tiek stingi noteikts (bez piebildēm un papildinājumiem), ka zemo emisijas zonā ir </w:t>
            </w:r>
            <w:r w:rsidR="00000000" w:rsidRPr="00000000" w:rsidDel="00000000">
              <w:rPr>
                <w:i w:val="1"/>
                <w:rtl w:val="0"/>
              </w:rPr>
              <w:t xml:space="preserve">"... kurā aizliedz tādu transportlīdzekļu iebraukšanu, kas atbilst emisiju klasei sākot no "EURO 0" līdz "EURO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Kažmēre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19.08.2026.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19.08.2026.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